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1E4A827A" w:rsidR="001D32DF" w:rsidRPr="006F181E" w:rsidRDefault="001D32DF" w:rsidP="00296174">
      <w:pPr>
        <w:ind w:left="426" w:right="-17"/>
        <w:jc w:val="center"/>
        <w:rPr>
          <w:rFonts w:ascii="Arial" w:hAnsi="Arial" w:cs="Arial"/>
          <w:b/>
          <w:sz w:val="24"/>
          <w:szCs w:val="24"/>
        </w:rPr>
      </w:pPr>
      <w:r w:rsidRPr="006F181E">
        <w:rPr>
          <w:rFonts w:ascii="Arial" w:hAnsi="Arial" w:cs="Arial"/>
          <w:b/>
          <w:sz w:val="24"/>
          <w:szCs w:val="24"/>
        </w:rPr>
        <w:t>ANEXO V</w:t>
      </w:r>
      <w:r w:rsidR="00FF2E17" w:rsidRPr="006F181E">
        <w:rPr>
          <w:rFonts w:ascii="Arial" w:hAnsi="Arial" w:cs="Arial"/>
          <w:b/>
          <w:sz w:val="24"/>
          <w:szCs w:val="24"/>
        </w:rPr>
        <w:t>I</w:t>
      </w:r>
      <w:r w:rsidR="00633A54">
        <w:rPr>
          <w:rFonts w:ascii="Arial" w:hAnsi="Arial" w:cs="Arial"/>
          <w:b/>
          <w:sz w:val="24"/>
          <w:szCs w:val="24"/>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E9FAB6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6F181E">
        <w:rPr>
          <w:rFonts w:ascii="Arial" w:hAnsi="Arial" w:cs="Arial"/>
          <w:sz w:val="22"/>
          <w:szCs w:val="22"/>
          <w:lang w:val="pt-PT"/>
        </w:rPr>
        <w:t xml:space="preserve">conforme atos constitutivos da empresa </w:t>
      </w:r>
      <w:r w:rsidR="009872FB" w:rsidRPr="006F181E">
        <w:rPr>
          <w:rFonts w:ascii="Arial" w:hAnsi="Arial" w:cs="Arial"/>
          <w:b/>
          <w:bCs/>
          <w:sz w:val="22"/>
          <w:szCs w:val="22"/>
          <w:lang w:val="pt-PT"/>
        </w:rPr>
        <w:t>OU</w:t>
      </w:r>
      <w:r w:rsidR="009872FB" w:rsidRPr="006F181E">
        <w:rPr>
          <w:rFonts w:ascii="Arial" w:hAnsi="Arial" w:cs="Arial"/>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0D43F5">
        <w:rPr>
          <w:rFonts w:ascii="Arial" w:hAnsi="Arial" w:cs="Arial"/>
          <w:b/>
          <w:bCs/>
          <w:sz w:val="22"/>
          <w:szCs w:val="22"/>
        </w:rPr>
        <w:t xml:space="preserve">nº </w:t>
      </w:r>
      <w:r w:rsidR="000D43F5">
        <w:rPr>
          <w:rFonts w:ascii="Arial" w:hAnsi="Arial" w:cs="Arial"/>
          <w:b/>
          <w:bCs/>
          <w:sz w:val="22"/>
          <w:szCs w:val="22"/>
        </w:rPr>
        <w:t>7930</w:t>
      </w:r>
      <w:r w:rsidR="000D43F5" w:rsidRPr="000D43F5">
        <w:rPr>
          <w:rFonts w:ascii="Arial" w:hAnsi="Arial" w:cs="Arial"/>
          <w:b/>
          <w:bCs/>
          <w:sz w:val="22"/>
          <w:szCs w:val="22"/>
        </w:rPr>
        <w:t>/2023</w:t>
      </w:r>
      <w:r w:rsidR="000D43F5">
        <w:rPr>
          <w:rFonts w:ascii="Arial" w:hAnsi="Arial" w:cs="Arial"/>
          <w:sz w:val="22"/>
          <w:szCs w:val="22"/>
        </w:rPr>
        <w:t>,</w:t>
      </w:r>
      <w:r w:rsidR="005466C3" w:rsidRPr="000D43F5">
        <w:rPr>
          <w:rFonts w:ascii="Arial" w:hAnsi="Arial" w:cs="Arial"/>
          <w:b/>
          <w:bCs/>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6F181E">
        <w:rPr>
          <w:rFonts w:ascii="Arial" w:hAnsi="Arial" w:cs="Arial"/>
          <w:sz w:val="22"/>
          <w:szCs w:val="22"/>
        </w:rPr>
        <w:t>,</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do </w:t>
      </w:r>
      <w:r w:rsidR="005466C3" w:rsidRPr="000D43F5">
        <w:rPr>
          <w:rFonts w:ascii="Arial" w:hAnsi="Arial" w:cs="Arial"/>
          <w:b/>
          <w:bCs/>
          <w:sz w:val="22"/>
          <w:szCs w:val="22"/>
        </w:rPr>
        <w:t>Pregão Eletrônico</w:t>
      </w:r>
      <w:r w:rsidR="000B23ED" w:rsidRPr="000D43F5">
        <w:rPr>
          <w:rFonts w:ascii="Arial" w:hAnsi="Arial" w:cs="Arial"/>
          <w:b/>
          <w:bCs/>
          <w:sz w:val="22"/>
          <w:szCs w:val="22"/>
        </w:rPr>
        <w:t xml:space="preserve"> </w:t>
      </w:r>
      <w:r w:rsidR="005466C3" w:rsidRPr="000D43F5">
        <w:rPr>
          <w:rFonts w:ascii="Arial" w:hAnsi="Arial" w:cs="Arial"/>
          <w:b/>
          <w:bCs/>
          <w:sz w:val="22"/>
          <w:szCs w:val="22"/>
        </w:rPr>
        <w:t xml:space="preserve">nº </w:t>
      </w:r>
      <w:r w:rsidR="000D43F5" w:rsidRPr="000D43F5">
        <w:rPr>
          <w:rFonts w:ascii="Arial" w:hAnsi="Arial" w:cs="Arial"/>
          <w:b/>
          <w:bCs/>
          <w:sz w:val="22"/>
          <w:szCs w:val="22"/>
        </w:rPr>
        <w:t>191/2023</w:t>
      </w:r>
      <w:r w:rsidRPr="008C13A3">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0F5BAE6"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contratação de</w:t>
      </w:r>
      <w:r w:rsidR="00510C82" w:rsidRPr="008C13A3">
        <w:rPr>
          <w:rFonts w:ascii="Arial" w:hAnsi="Arial" w:cs="Arial"/>
          <w:bCs/>
          <w:iCs/>
        </w:rPr>
        <w:t xml:space="preserve"> </w:t>
      </w:r>
      <w:r w:rsidR="006F181E" w:rsidRPr="006F181E">
        <w:rPr>
          <w:rFonts w:ascii="Arial" w:hAnsi="Arial" w:cs="Arial"/>
          <w:bCs/>
          <w:iCs/>
        </w:rPr>
        <w:t xml:space="preserve">Materiais Respiratórios para atender as necessidades da Rede Municipal de Saúde, pelo período de </w:t>
      </w:r>
      <w:r w:rsidR="000F16DD">
        <w:rPr>
          <w:rFonts w:ascii="Arial" w:hAnsi="Arial" w:cs="Arial"/>
          <w:bCs/>
          <w:iCs/>
        </w:rPr>
        <w:t>um ano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w:t>
      </w:r>
      <w:r w:rsidR="000F697C">
        <w:rPr>
          <w:rFonts w:ascii="Arial" w:hAnsi="Arial" w:cs="Arial"/>
          <w:bCs/>
          <w:iCs/>
        </w:rPr>
        <w:t>E</w:t>
      </w:r>
      <w:r w:rsidR="005466C3" w:rsidRPr="008C13A3">
        <w:rPr>
          <w:rFonts w:ascii="Arial" w:hAnsi="Arial" w:cs="Arial"/>
          <w:bCs/>
          <w:iCs/>
        </w:rPr>
        <w:t>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6F181E">
      <w:pPr>
        <w:pStyle w:val="PargrafodaLista"/>
        <w:widowControl/>
        <w:numPr>
          <w:ilvl w:val="2"/>
          <w:numId w:val="2"/>
        </w:numPr>
        <w:tabs>
          <w:tab w:val="left" w:pos="426"/>
        </w:tabs>
        <w:autoSpaceDE/>
        <w:autoSpaceDN/>
        <w:spacing w:before="0" w:line="360"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6F181E">
      <w:pPr>
        <w:pStyle w:val="PargrafodaLista"/>
        <w:widowControl/>
        <w:tabs>
          <w:tab w:val="left" w:pos="426"/>
        </w:tabs>
        <w:autoSpaceDE/>
        <w:autoSpaceDN/>
        <w:spacing w:before="0" w:line="360" w:lineRule="auto"/>
        <w:ind w:left="862"/>
        <w:jc w:val="both"/>
        <w:rPr>
          <w:rFonts w:ascii="Arial" w:hAnsi="Arial" w:cs="Arial"/>
          <w:bCs/>
        </w:rPr>
      </w:pPr>
    </w:p>
    <w:p w14:paraId="30E3A394" w14:textId="603BC8B3" w:rsidR="001D32DF" w:rsidRPr="008C13A3" w:rsidRDefault="001D32DF" w:rsidP="006F181E">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00F04F54" w:rsidR="00B0084D" w:rsidRPr="008C13A3" w:rsidRDefault="00B0084D" w:rsidP="006F181E">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O prazo de vigência da contratação é de .............................. contados do</w:t>
      </w:r>
      <w:r w:rsidR="006F181E">
        <w:rPr>
          <w:rFonts w:ascii="Arial" w:hAnsi="Arial" w:cs="Arial"/>
          <w:bCs/>
          <w:iCs/>
        </w:rPr>
        <w:t xml:space="preserve"> </w:t>
      </w:r>
      <w:r w:rsidRPr="008C13A3">
        <w:rPr>
          <w:rFonts w:ascii="Arial" w:hAnsi="Arial" w:cs="Arial"/>
          <w:bCs/>
          <w:iCs/>
        </w:rPr>
        <w:t xml:space="preserve">(a) ............................., na forma do </w:t>
      </w:r>
      <w:hyperlink r:id="rId9" w:anchor="art105" w:history="1">
        <w:r w:rsidRPr="008C13A3">
          <w:rPr>
            <w:rFonts w:ascii="Arial" w:hAnsi="Arial" w:cs="Arial"/>
          </w:rPr>
          <w:t>artigo 105</w:t>
        </w:r>
        <w:r w:rsidR="000F697C">
          <w:rPr>
            <w:rFonts w:ascii="Arial" w:hAnsi="Arial" w:cs="Arial"/>
          </w:rPr>
          <w:t>,</w:t>
        </w:r>
        <w:r w:rsidRPr="008C13A3">
          <w:rPr>
            <w:rFonts w:ascii="Arial" w:hAnsi="Arial" w:cs="Arial"/>
          </w:rPr>
          <w:t xml:space="preserve"> da Lei n° 14.133, de 2021</w:t>
        </w:r>
      </w:hyperlink>
      <w:r w:rsidRPr="008C13A3">
        <w:rPr>
          <w:rFonts w:ascii="Arial" w:hAnsi="Arial" w:cs="Arial"/>
          <w:bCs/>
          <w:iCs/>
        </w:rPr>
        <w:t>.</w:t>
      </w:r>
    </w:p>
    <w:p w14:paraId="22EBC8CE" w14:textId="4E8C732D" w:rsidR="00B0084D" w:rsidRPr="008C13A3" w:rsidRDefault="00B0084D" w:rsidP="006F181E">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6F181E">
      <w:pPr>
        <w:pStyle w:val="PargrafodaLista"/>
        <w:widowControl/>
        <w:tabs>
          <w:tab w:val="left" w:pos="426"/>
        </w:tabs>
        <w:autoSpaceDE/>
        <w:autoSpaceDN/>
        <w:spacing w:before="0" w:line="360" w:lineRule="auto"/>
        <w:ind w:left="0"/>
        <w:jc w:val="both"/>
        <w:rPr>
          <w:rFonts w:ascii="Arial" w:hAnsi="Arial" w:cs="Arial"/>
          <w:bCs/>
          <w:iCs/>
          <w:color w:val="FF0000"/>
        </w:rPr>
      </w:pPr>
    </w:p>
    <w:p w14:paraId="0FC100CD" w14:textId="77777777" w:rsidR="009C3548" w:rsidRPr="008C13A3" w:rsidRDefault="009C3548" w:rsidP="006F181E">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0D62B2B" w14:textId="174DF1A3" w:rsidR="009C3548" w:rsidRDefault="009C3548" w:rsidP="00011B46">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 xml:space="preserve">O regime de execução contratual, o modelo de gestão, assim como os prazos e condições de conclusão, entrega, observação e recebimento </w:t>
      </w:r>
      <w:r w:rsidR="007E7BBF" w:rsidRPr="008C13A3">
        <w:rPr>
          <w:rFonts w:ascii="Arial" w:hAnsi="Arial" w:cs="Arial"/>
          <w:bCs/>
          <w:iCs/>
        </w:rPr>
        <w:t>do objeto</w:t>
      </w:r>
      <w:r w:rsidRPr="008C13A3">
        <w:rPr>
          <w:rFonts w:ascii="Arial" w:hAnsi="Arial" w:cs="Arial"/>
          <w:bCs/>
          <w:iCs/>
        </w:rPr>
        <w:t xml:space="preserve"> constam no Termo de Referência, anexo a este Contrato.</w:t>
      </w:r>
    </w:p>
    <w:p w14:paraId="238E2DED" w14:textId="5E2A128E" w:rsidR="00011B46" w:rsidRPr="00011B46" w:rsidRDefault="00011B46" w:rsidP="00793806">
      <w:pPr>
        <w:pStyle w:val="Nivel1"/>
        <w:numPr>
          <w:ilvl w:val="1"/>
          <w:numId w:val="2"/>
        </w:numPr>
        <w:spacing w:before="0" w:after="0" w:line="360" w:lineRule="auto"/>
        <w:ind w:left="0" w:firstLine="0"/>
        <w:rPr>
          <w:rFonts w:eastAsia="Verdana"/>
          <w:b w:val="0"/>
          <w:bCs/>
          <w:iCs/>
          <w:color w:val="auto"/>
          <w:sz w:val="22"/>
          <w:szCs w:val="22"/>
          <w:lang w:val="pt-PT"/>
        </w:rPr>
      </w:pPr>
      <w:r>
        <w:rPr>
          <w:rFonts w:eastAsia="Verdana"/>
          <w:b w:val="0"/>
          <w:bCs/>
          <w:iCs/>
          <w:color w:val="auto"/>
          <w:sz w:val="22"/>
          <w:szCs w:val="22"/>
          <w:lang w:val="pt-PT"/>
        </w:rPr>
        <w:t xml:space="preserve">- </w:t>
      </w:r>
      <w:r w:rsidRPr="00011B46">
        <w:rPr>
          <w:rFonts w:eastAsia="Verdana"/>
          <w:b w:val="0"/>
          <w:bCs/>
          <w:iCs/>
          <w:color w:val="auto"/>
          <w:sz w:val="22"/>
          <w:szCs w:val="22"/>
          <w:lang w:val="pt-PT"/>
        </w:rPr>
        <w:t>Execução Contratual</w:t>
      </w:r>
    </w:p>
    <w:p w14:paraId="2084B238" w14:textId="2824A2F5" w:rsidR="00011B46" w:rsidRPr="00011B46" w:rsidRDefault="00011B46" w:rsidP="00793806">
      <w:pPr>
        <w:pStyle w:val="Nivel2"/>
        <w:numPr>
          <w:ilvl w:val="2"/>
          <w:numId w:val="2"/>
        </w:numPr>
        <w:tabs>
          <w:tab w:val="left" w:pos="0"/>
        </w:tabs>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Pr="00011B46">
        <w:rPr>
          <w:rFonts w:eastAsia="Verdana"/>
          <w:bCs/>
          <w:iCs/>
          <w:color w:val="auto"/>
          <w:sz w:val="22"/>
          <w:szCs w:val="22"/>
          <w:lang w:val="pt-PT" w:eastAsia="en-US"/>
        </w:rPr>
        <w:t>O prazo de entrega dos bens é de 15 (quinze) dias corridos, contados a partir do recebimento da nota de empenho, em remessa parcelada, conforme conveniência e necessidade das Unidades Requisitantes.</w:t>
      </w:r>
    </w:p>
    <w:p w14:paraId="1DB5CF02" w14:textId="32564BF0" w:rsidR="00011B46" w:rsidRPr="00011B46" w:rsidRDefault="00011B46" w:rsidP="00793806">
      <w:pPr>
        <w:pStyle w:val="Nivel2"/>
        <w:numPr>
          <w:ilvl w:val="2"/>
          <w:numId w:val="2"/>
        </w:numPr>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Pr="00011B46">
        <w:rPr>
          <w:rFonts w:eastAsia="Verdana"/>
          <w:bCs/>
          <w:iCs/>
          <w:color w:val="auto"/>
          <w:sz w:val="22"/>
          <w:szCs w:val="22"/>
          <w:lang w:val="pt-PT" w:eastAsia="en-US"/>
        </w:rPr>
        <w:t>A Contratada deverá proceder com a entrega do objeto no local e horário arrolados abaixo, respeitando sempre o período de solicitação de cada Unidade Requisitante:</w:t>
      </w:r>
    </w:p>
    <w:p w14:paraId="62D35033" w14:textId="77777777" w:rsidR="00011B46" w:rsidRPr="00011B46" w:rsidRDefault="00011B46" w:rsidP="00793806">
      <w:pPr>
        <w:pStyle w:val="Nivel2"/>
        <w:numPr>
          <w:ilvl w:val="0"/>
          <w:numId w:val="13"/>
        </w:numPr>
        <w:suppressAutoHyphens/>
        <w:autoSpaceDN w:val="0"/>
        <w:spacing w:before="0" w:after="0"/>
        <w:ind w:left="142" w:firstLine="0"/>
        <w:rPr>
          <w:rFonts w:eastAsia="Verdana"/>
          <w:bCs/>
          <w:iCs/>
          <w:color w:val="auto"/>
          <w:sz w:val="22"/>
          <w:szCs w:val="22"/>
          <w:lang w:val="pt-PT" w:eastAsia="en-US"/>
        </w:rPr>
      </w:pPr>
      <w:r w:rsidRPr="00011B46">
        <w:rPr>
          <w:rFonts w:eastAsia="Verdana"/>
          <w:bCs/>
          <w:iCs/>
          <w:color w:val="auto"/>
          <w:sz w:val="22"/>
          <w:szCs w:val="22"/>
          <w:lang w:val="pt-PT" w:eastAsia="en-US"/>
        </w:rPr>
        <w:t xml:space="preserve">Almoxarifado Central da Secretaria Municipal de Saúde – Avenida Conselheiro Julius </w:t>
      </w:r>
      <w:proofErr w:type="spellStart"/>
      <w:r w:rsidRPr="00011B46">
        <w:rPr>
          <w:rFonts w:eastAsia="Verdana"/>
          <w:bCs/>
          <w:iCs/>
          <w:color w:val="auto"/>
          <w:sz w:val="22"/>
          <w:szCs w:val="22"/>
          <w:lang w:val="pt-PT" w:eastAsia="en-US"/>
        </w:rPr>
        <w:t>Arp</w:t>
      </w:r>
      <w:proofErr w:type="spellEnd"/>
      <w:r w:rsidRPr="00011B46">
        <w:rPr>
          <w:rFonts w:eastAsia="Verdana"/>
          <w:bCs/>
          <w:iCs/>
          <w:color w:val="auto"/>
          <w:sz w:val="22"/>
          <w:szCs w:val="22"/>
          <w:lang w:val="pt-PT" w:eastAsia="en-US"/>
        </w:rPr>
        <w:t>, n° 80, 2° andar, Centro, Nova Friburgo, CEP: 28.623-000;</w:t>
      </w:r>
    </w:p>
    <w:p w14:paraId="5FB89183" w14:textId="77777777" w:rsidR="00011B46" w:rsidRPr="00011B46" w:rsidRDefault="00011B46" w:rsidP="00793806">
      <w:pPr>
        <w:pStyle w:val="Nivel2"/>
        <w:numPr>
          <w:ilvl w:val="0"/>
          <w:numId w:val="13"/>
        </w:numPr>
        <w:suppressAutoHyphens/>
        <w:autoSpaceDN w:val="0"/>
        <w:spacing w:before="0" w:after="0"/>
        <w:ind w:left="142" w:firstLine="0"/>
        <w:rPr>
          <w:rFonts w:eastAsia="Verdana"/>
          <w:bCs/>
          <w:iCs/>
          <w:color w:val="auto"/>
          <w:sz w:val="22"/>
          <w:szCs w:val="22"/>
          <w:lang w:val="pt-PT" w:eastAsia="en-US"/>
        </w:rPr>
      </w:pPr>
      <w:r w:rsidRPr="00011B46">
        <w:rPr>
          <w:rFonts w:eastAsia="Verdana"/>
          <w:bCs/>
          <w:iCs/>
          <w:color w:val="auto"/>
          <w:sz w:val="22"/>
          <w:szCs w:val="22"/>
          <w:lang w:val="pt-PT" w:eastAsia="en-US"/>
        </w:rPr>
        <w:t>Horários: 09h:00 às 16h:00, respeitando o horário de almoço entre 12h:00 às 13h:00;</w:t>
      </w:r>
    </w:p>
    <w:p w14:paraId="46B33863" w14:textId="54620AEF" w:rsidR="00011B46" w:rsidRPr="00011B46" w:rsidRDefault="00011B46" w:rsidP="00793806">
      <w:pPr>
        <w:pStyle w:val="Nivel2"/>
        <w:numPr>
          <w:ilvl w:val="2"/>
          <w:numId w:val="2"/>
        </w:numPr>
        <w:tabs>
          <w:tab w:val="left" w:pos="284"/>
        </w:tabs>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Pr="00011B46">
        <w:rPr>
          <w:rFonts w:eastAsia="Verdana"/>
          <w:bCs/>
          <w:iCs/>
          <w:color w:val="auto"/>
          <w:sz w:val="22"/>
          <w:szCs w:val="22"/>
          <w:lang w:val="pt-PT" w:eastAsia="en-U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054E8C3B" w14:textId="77777777" w:rsidR="00011B46" w:rsidRDefault="00011B46" w:rsidP="00793806">
      <w:pPr>
        <w:pStyle w:val="Nivel2"/>
        <w:numPr>
          <w:ilvl w:val="2"/>
          <w:numId w:val="2"/>
        </w:numPr>
        <w:tabs>
          <w:tab w:val="left" w:pos="0"/>
        </w:tabs>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Pr="00011B46">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2E009BF4" w14:textId="3FC0733D" w:rsidR="00011B46" w:rsidRPr="00011B46" w:rsidRDefault="00011B46" w:rsidP="00793806">
      <w:pPr>
        <w:pStyle w:val="Nivel2"/>
        <w:numPr>
          <w:ilvl w:val="2"/>
          <w:numId w:val="2"/>
        </w:numPr>
        <w:tabs>
          <w:tab w:val="left" w:pos="567"/>
        </w:tabs>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Pr="00011B46">
        <w:rPr>
          <w:rFonts w:eastAsia="Verdana"/>
          <w:bCs/>
          <w:iCs/>
          <w:color w:val="auto"/>
          <w:sz w:val="22"/>
          <w:szCs w:val="22"/>
          <w:lang w:val="pt-PT" w:eastAsia="en-US"/>
        </w:rPr>
        <w:t xml:space="preserve">Os bens poderão ser rejeitados, no todo ou em parte, quando em desacordo com as especificações constantes neste Termo de Referência e na proposta, devendo ser </w:t>
      </w:r>
      <w:r w:rsidRPr="00011B46">
        <w:rPr>
          <w:rFonts w:eastAsia="Verdana"/>
          <w:bCs/>
          <w:iCs/>
          <w:color w:val="auto"/>
          <w:sz w:val="22"/>
          <w:szCs w:val="22"/>
          <w:lang w:val="pt-PT" w:eastAsia="en-US"/>
        </w:rPr>
        <w:lastRenderedPageBreak/>
        <w:t>substituídos no prazo de 3 (três) dias, a contar da notificação da contratada, às suas custas, sem prejuízo da aplicação das penalidades.</w:t>
      </w:r>
    </w:p>
    <w:p w14:paraId="686BB0F0" w14:textId="6BD3ADFA" w:rsidR="00011B46" w:rsidRPr="00011B46" w:rsidRDefault="00011B46"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Pr="00011B46">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066FC41A" w14:textId="7B0A5E2B" w:rsidR="00011B46" w:rsidRPr="00011B46" w:rsidRDefault="00011B46"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Pr="00011B46">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08C2D5EB" w14:textId="106074A3" w:rsidR="00011B46" w:rsidRPr="00011B46" w:rsidRDefault="00011B46" w:rsidP="00571B00">
      <w:pPr>
        <w:pStyle w:val="Nivel2"/>
        <w:numPr>
          <w:ilvl w:val="2"/>
          <w:numId w:val="2"/>
        </w:numPr>
        <w:suppressAutoHyphens/>
        <w:autoSpaceDN w:val="0"/>
        <w:spacing w:before="0" w:after="0" w:line="360" w:lineRule="auto"/>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Pr="00011B46">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35953BE3" w14:textId="61A5A0F6" w:rsidR="00011B46" w:rsidRPr="00011B46" w:rsidRDefault="00390DB5" w:rsidP="00571B00">
      <w:pPr>
        <w:pStyle w:val="Nivel1"/>
        <w:numPr>
          <w:ilvl w:val="1"/>
          <w:numId w:val="2"/>
        </w:numPr>
        <w:spacing w:before="0" w:after="0" w:line="360" w:lineRule="auto"/>
        <w:rPr>
          <w:rFonts w:eastAsia="Verdana"/>
          <w:b w:val="0"/>
          <w:bCs/>
          <w:iCs/>
          <w:color w:val="auto"/>
          <w:sz w:val="22"/>
          <w:szCs w:val="22"/>
          <w:lang w:val="pt-PT"/>
        </w:rPr>
      </w:pPr>
      <w:r>
        <w:rPr>
          <w:rFonts w:eastAsia="Verdana"/>
          <w:b w:val="0"/>
          <w:bCs/>
          <w:iCs/>
          <w:color w:val="auto"/>
          <w:sz w:val="22"/>
          <w:szCs w:val="22"/>
          <w:lang w:val="pt-PT"/>
        </w:rPr>
        <w:t xml:space="preserve"> - </w:t>
      </w:r>
      <w:r w:rsidR="00011B46" w:rsidRPr="00011B46">
        <w:rPr>
          <w:rFonts w:eastAsia="Verdana"/>
          <w:b w:val="0"/>
          <w:bCs/>
          <w:iCs/>
          <w:color w:val="auto"/>
          <w:sz w:val="22"/>
          <w:szCs w:val="22"/>
          <w:lang w:val="pt-PT"/>
        </w:rPr>
        <w:t>G</w:t>
      </w:r>
      <w:r>
        <w:rPr>
          <w:rFonts w:eastAsia="Verdana"/>
          <w:b w:val="0"/>
          <w:bCs/>
          <w:iCs/>
          <w:color w:val="auto"/>
          <w:sz w:val="22"/>
          <w:szCs w:val="22"/>
          <w:lang w:val="pt-PT"/>
        </w:rPr>
        <w:t>estão do Contrato</w:t>
      </w:r>
    </w:p>
    <w:p w14:paraId="3927510D" w14:textId="5475857C" w:rsidR="00011B46" w:rsidRPr="00011B46" w:rsidRDefault="00390DB5" w:rsidP="00571B00">
      <w:pPr>
        <w:pStyle w:val="Nivel2"/>
        <w:numPr>
          <w:ilvl w:val="2"/>
          <w:numId w:val="2"/>
        </w:numPr>
        <w:suppressAutoHyphens/>
        <w:autoSpaceDN w:val="0"/>
        <w:spacing w:before="0" w:after="0" w:line="360" w:lineRule="auto"/>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345D348B" w14:textId="5C39D9DD" w:rsidR="00011B46" w:rsidRPr="00011B46" w:rsidRDefault="00390DB5"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bookmarkStart w:id="3" w:name="art115§1"/>
      <w:bookmarkStart w:id="4" w:name="art115§5"/>
      <w:bookmarkEnd w:id="3"/>
      <w:bookmarkEnd w:id="4"/>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76B583A5" w14:textId="2004FB93" w:rsidR="00011B46" w:rsidRPr="00011B46" w:rsidRDefault="00390DB5"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bookmarkStart w:id="5" w:name="art116"/>
      <w:bookmarkEnd w:id="5"/>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tbl>
      <w:tblPr>
        <w:tblW w:w="9072" w:type="dxa"/>
        <w:tblInd w:w="-10" w:type="dxa"/>
        <w:tblCellMar>
          <w:left w:w="10" w:type="dxa"/>
          <w:right w:w="10" w:type="dxa"/>
        </w:tblCellMar>
        <w:tblLook w:val="04A0" w:firstRow="1" w:lastRow="0" w:firstColumn="1" w:lastColumn="0" w:noHBand="0" w:noVBand="1"/>
      </w:tblPr>
      <w:tblGrid>
        <w:gridCol w:w="3686"/>
        <w:gridCol w:w="2268"/>
        <w:gridCol w:w="3118"/>
      </w:tblGrid>
      <w:tr w:rsidR="00011B46" w:rsidRPr="00011B46" w14:paraId="6799505D" w14:textId="77777777" w:rsidTr="00656DA5">
        <w:tblPrEx>
          <w:tblCellMar>
            <w:top w:w="0" w:type="dxa"/>
            <w:bottom w:w="0" w:type="dxa"/>
          </w:tblCellMar>
        </w:tblPrEx>
        <w:trPr>
          <w:trHeight w:val="32"/>
        </w:trPr>
        <w:tc>
          <w:tcPr>
            <w:tcW w:w="3686"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2C885843" w14:textId="77777777" w:rsidR="00011B46" w:rsidRPr="00011B46" w:rsidRDefault="00011B46" w:rsidP="0018481E">
            <w:pPr>
              <w:spacing w:line="276" w:lineRule="auto"/>
              <w:jc w:val="center"/>
              <w:rPr>
                <w:rFonts w:ascii="Arial" w:hAnsi="Arial" w:cs="Arial" w:hint="eastAsia"/>
                <w:bCs/>
                <w:iCs/>
              </w:rPr>
            </w:pPr>
            <w:r w:rsidRPr="00011B46">
              <w:rPr>
                <w:rFonts w:ascii="Arial" w:hAnsi="Arial" w:cs="Arial"/>
                <w:bCs/>
                <w:iCs/>
              </w:rPr>
              <w:t>SERVIDOR</w:t>
            </w:r>
          </w:p>
        </w:tc>
        <w:tc>
          <w:tcPr>
            <w:tcW w:w="2268"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05AEDDFB" w14:textId="77777777" w:rsidR="00011B46" w:rsidRPr="00011B46" w:rsidRDefault="00011B46" w:rsidP="0018481E">
            <w:pPr>
              <w:spacing w:line="276" w:lineRule="auto"/>
              <w:jc w:val="center"/>
              <w:rPr>
                <w:rFonts w:ascii="Arial" w:hAnsi="Arial" w:cs="Arial" w:hint="eastAsia"/>
                <w:bCs/>
                <w:iCs/>
              </w:rPr>
            </w:pPr>
            <w:r w:rsidRPr="00011B46">
              <w:rPr>
                <w:rFonts w:ascii="Arial" w:hAnsi="Arial" w:cs="Arial"/>
                <w:bCs/>
                <w:iCs/>
              </w:rPr>
              <w:t>MATRÍCULA</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top w:w="28" w:type="dxa"/>
              <w:left w:w="0" w:type="dxa"/>
              <w:bottom w:w="28" w:type="dxa"/>
              <w:right w:w="28" w:type="dxa"/>
            </w:tcMar>
            <w:vAlign w:val="center"/>
          </w:tcPr>
          <w:p w14:paraId="20869F48" w14:textId="77777777" w:rsidR="00011B46" w:rsidRPr="00011B46" w:rsidRDefault="00011B46" w:rsidP="0018481E">
            <w:pPr>
              <w:spacing w:line="276" w:lineRule="auto"/>
              <w:jc w:val="center"/>
              <w:rPr>
                <w:rFonts w:ascii="Arial" w:hAnsi="Arial" w:cs="Arial" w:hint="eastAsia"/>
                <w:bCs/>
                <w:iCs/>
              </w:rPr>
            </w:pPr>
            <w:r w:rsidRPr="00011B46">
              <w:rPr>
                <w:rFonts w:ascii="Arial" w:hAnsi="Arial" w:cs="Arial"/>
                <w:bCs/>
                <w:iCs/>
              </w:rPr>
              <w:t>DESIGNAÇÃO</w:t>
            </w:r>
          </w:p>
        </w:tc>
      </w:tr>
      <w:tr w:rsidR="00011B46" w:rsidRPr="00011B46" w14:paraId="62A6CC50" w14:textId="77777777" w:rsidTr="00656DA5">
        <w:tblPrEx>
          <w:tblCellMar>
            <w:top w:w="0" w:type="dxa"/>
            <w:bottom w:w="0" w:type="dxa"/>
          </w:tblCellMar>
        </w:tblPrEx>
        <w:trPr>
          <w:trHeight w:val="32"/>
        </w:trPr>
        <w:tc>
          <w:tcPr>
            <w:tcW w:w="3686"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7FACFD5D" w14:textId="77777777" w:rsidR="00011B46" w:rsidRPr="00011B46" w:rsidRDefault="00011B46" w:rsidP="00656DA5">
            <w:pPr>
              <w:spacing w:line="360" w:lineRule="auto"/>
              <w:jc w:val="center"/>
              <w:rPr>
                <w:rFonts w:ascii="Arial" w:hAnsi="Arial" w:cs="Arial"/>
                <w:bCs/>
                <w:iCs/>
              </w:rPr>
            </w:pPr>
            <w:r w:rsidRPr="00011B46">
              <w:rPr>
                <w:rFonts w:ascii="Arial" w:hAnsi="Arial" w:cs="Arial"/>
                <w:bCs/>
                <w:iCs/>
              </w:rPr>
              <w:t>Ângela Maria Sardou Charret</w:t>
            </w:r>
          </w:p>
        </w:tc>
        <w:tc>
          <w:tcPr>
            <w:tcW w:w="2268"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2A80C31C" w14:textId="77777777" w:rsidR="00011B46" w:rsidRPr="00011B46" w:rsidRDefault="00011B46" w:rsidP="0018481E">
            <w:pPr>
              <w:spacing w:line="360" w:lineRule="auto"/>
              <w:jc w:val="center"/>
              <w:rPr>
                <w:rFonts w:ascii="Arial" w:hAnsi="Arial" w:cs="Arial" w:hint="eastAsia"/>
                <w:bCs/>
                <w:iCs/>
              </w:rPr>
            </w:pPr>
            <w:r w:rsidRPr="00011B46">
              <w:rPr>
                <w:rFonts w:ascii="Arial" w:hAnsi="Arial" w:cs="Arial"/>
                <w:bCs/>
                <w:iCs/>
              </w:rPr>
              <w:t>062.400</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top w:w="28" w:type="dxa"/>
              <w:left w:w="0" w:type="dxa"/>
              <w:bottom w:w="28" w:type="dxa"/>
              <w:right w:w="28" w:type="dxa"/>
            </w:tcMar>
            <w:vAlign w:val="center"/>
          </w:tcPr>
          <w:p w14:paraId="28C9D96C" w14:textId="77777777" w:rsidR="00011B46" w:rsidRPr="00011B46" w:rsidRDefault="00011B46" w:rsidP="0018481E">
            <w:pPr>
              <w:spacing w:line="276" w:lineRule="auto"/>
              <w:jc w:val="center"/>
              <w:rPr>
                <w:rFonts w:ascii="Arial" w:hAnsi="Arial" w:cs="Arial" w:hint="eastAsia"/>
                <w:bCs/>
                <w:iCs/>
              </w:rPr>
            </w:pPr>
            <w:r w:rsidRPr="00011B46">
              <w:rPr>
                <w:rFonts w:ascii="Arial" w:hAnsi="Arial" w:cs="Arial"/>
                <w:bCs/>
                <w:iCs/>
              </w:rPr>
              <w:t>Superior Imediato</w:t>
            </w:r>
          </w:p>
        </w:tc>
      </w:tr>
      <w:tr w:rsidR="00011B46" w:rsidRPr="00011B46" w14:paraId="3EE1DED5" w14:textId="77777777" w:rsidTr="00656DA5">
        <w:tblPrEx>
          <w:tblCellMar>
            <w:top w:w="0" w:type="dxa"/>
            <w:bottom w:w="0" w:type="dxa"/>
          </w:tblCellMar>
        </w:tblPrEx>
        <w:trPr>
          <w:trHeight w:val="32"/>
        </w:trPr>
        <w:tc>
          <w:tcPr>
            <w:tcW w:w="3686"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33F90F3A" w14:textId="77777777" w:rsidR="00011B46" w:rsidRPr="00011B46" w:rsidRDefault="00011B46" w:rsidP="00656DA5">
            <w:pPr>
              <w:spacing w:line="360" w:lineRule="auto"/>
              <w:jc w:val="center"/>
              <w:rPr>
                <w:rFonts w:ascii="Arial" w:hAnsi="Arial" w:cs="Arial"/>
                <w:bCs/>
                <w:iCs/>
              </w:rPr>
            </w:pPr>
            <w:r w:rsidRPr="00011B46">
              <w:rPr>
                <w:rFonts w:ascii="Arial" w:hAnsi="Arial" w:cs="Arial"/>
                <w:bCs/>
                <w:iCs/>
              </w:rPr>
              <w:t>Bianca Portela Dutra</w:t>
            </w:r>
          </w:p>
        </w:tc>
        <w:tc>
          <w:tcPr>
            <w:tcW w:w="2268"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74C9E8B4" w14:textId="77777777" w:rsidR="00011B46" w:rsidRPr="00011B46" w:rsidRDefault="00011B46" w:rsidP="0018481E">
            <w:pPr>
              <w:spacing w:line="360" w:lineRule="auto"/>
              <w:jc w:val="center"/>
              <w:rPr>
                <w:rFonts w:ascii="Arial" w:hAnsi="Arial" w:cs="Arial"/>
                <w:bCs/>
                <w:iCs/>
              </w:rPr>
            </w:pPr>
            <w:r w:rsidRPr="00011B46">
              <w:rPr>
                <w:rFonts w:ascii="Arial" w:hAnsi="Arial" w:cs="Arial"/>
                <w:bCs/>
                <w:iCs/>
              </w:rPr>
              <w:t>062.432</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top w:w="28" w:type="dxa"/>
              <w:left w:w="0" w:type="dxa"/>
              <w:bottom w:w="28" w:type="dxa"/>
              <w:right w:w="28" w:type="dxa"/>
            </w:tcMar>
            <w:vAlign w:val="center"/>
          </w:tcPr>
          <w:p w14:paraId="00F129EB" w14:textId="77777777" w:rsidR="00011B46" w:rsidRPr="00011B46" w:rsidRDefault="00011B46" w:rsidP="0018481E">
            <w:pPr>
              <w:spacing w:line="276" w:lineRule="auto"/>
              <w:jc w:val="center"/>
              <w:rPr>
                <w:rFonts w:ascii="Arial" w:hAnsi="Arial" w:cs="Arial"/>
                <w:bCs/>
                <w:iCs/>
              </w:rPr>
            </w:pPr>
            <w:r w:rsidRPr="00011B46">
              <w:rPr>
                <w:rFonts w:ascii="Arial" w:hAnsi="Arial" w:cs="Arial"/>
                <w:bCs/>
                <w:iCs/>
              </w:rPr>
              <w:t>Fiscal Titular</w:t>
            </w:r>
          </w:p>
        </w:tc>
      </w:tr>
      <w:tr w:rsidR="00011B46" w:rsidRPr="00011B46" w14:paraId="26B298AC" w14:textId="77777777" w:rsidTr="00656DA5">
        <w:tblPrEx>
          <w:tblCellMar>
            <w:top w:w="0" w:type="dxa"/>
            <w:bottom w:w="0" w:type="dxa"/>
          </w:tblCellMar>
        </w:tblPrEx>
        <w:trPr>
          <w:trHeight w:val="32"/>
        </w:trPr>
        <w:tc>
          <w:tcPr>
            <w:tcW w:w="3686"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7A2E6FA3" w14:textId="77777777" w:rsidR="00011B46" w:rsidRPr="00011B46" w:rsidRDefault="00011B46" w:rsidP="00656DA5">
            <w:pPr>
              <w:spacing w:line="360" w:lineRule="auto"/>
              <w:jc w:val="center"/>
              <w:rPr>
                <w:rFonts w:ascii="Arial" w:hAnsi="Arial" w:cs="Arial"/>
                <w:bCs/>
                <w:iCs/>
              </w:rPr>
            </w:pPr>
            <w:r w:rsidRPr="00011B46">
              <w:rPr>
                <w:rFonts w:ascii="Arial" w:hAnsi="Arial" w:cs="Arial"/>
                <w:bCs/>
                <w:iCs/>
              </w:rPr>
              <w:t>Cristina B. Gomes</w:t>
            </w:r>
          </w:p>
        </w:tc>
        <w:tc>
          <w:tcPr>
            <w:tcW w:w="2268"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627DB8D9" w14:textId="77777777" w:rsidR="00011B46" w:rsidRPr="00011B46" w:rsidRDefault="00011B46" w:rsidP="0018481E">
            <w:pPr>
              <w:spacing w:line="360" w:lineRule="auto"/>
              <w:jc w:val="center"/>
              <w:rPr>
                <w:rFonts w:ascii="Arial" w:hAnsi="Arial" w:cs="Arial" w:hint="eastAsia"/>
                <w:bCs/>
                <w:iCs/>
              </w:rPr>
            </w:pPr>
            <w:r w:rsidRPr="00011B46">
              <w:rPr>
                <w:rFonts w:ascii="Arial" w:hAnsi="Arial" w:cs="Arial"/>
                <w:bCs/>
                <w:iCs/>
              </w:rPr>
              <w:t>290.212</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top w:w="28" w:type="dxa"/>
              <w:left w:w="0" w:type="dxa"/>
              <w:bottom w:w="28" w:type="dxa"/>
              <w:right w:w="28" w:type="dxa"/>
            </w:tcMar>
            <w:vAlign w:val="center"/>
          </w:tcPr>
          <w:p w14:paraId="0C2947C2" w14:textId="77777777" w:rsidR="00011B46" w:rsidRPr="00011B46" w:rsidRDefault="00011B46" w:rsidP="0018481E">
            <w:pPr>
              <w:spacing w:line="276" w:lineRule="auto"/>
              <w:jc w:val="center"/>
              <w:rPr>
                <w:rFonts w:ascii="Arial" w:hAnsi="Arial" w:cs="Arial" w:hint="eastAsia"/>
                <w:bCs/>
                <w:iCs/>
              </w:rPr>
            </w:pPr>
            <w:r w:rsidRPr="00011B46">
              <w:rPr>
                <w:rFonts w:ascii="Arial" w:hAnsi="Arial" w:cs="Arial"/>
                <w:bCs/>
                <w:iCs/>
              </w:rPr>
              <w:t>Fiscal Substituto</w:t>
            </w:r>
          </w:p>
        </w:tc>
      </w:tr>
      <w:tr w:rsidR="00011B46" w:rsidRPr="00011B46" w14:paraId="33A578E9" w14:textId="77777777" w:rsidTr="00656DA5">
        <w:tblPrEx>
          <w:tblCellMar>
            <w:top w:w="0" w:type="dxa"/>
            <w:bottom w:w="0" w:type="dxa"/>
          </w:tblCellMar>
        </w:tblPrEx>
        <w:trPr>
          <w:trHeight w:val="32"/>
        </w:trPr>
        <w:tc>
          <w:tcPr>
            <w:tcW w:w="3686"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2C97C4FE" w14:textId="77777777" w:rsidR="00011B46" w:rsidRPr="00011B46" w:rsidRDefault="00011B46" w:rsidP="00656DA5">
            <w:pPr>
              <w:spacing w:line="276" w:lineRule="auto"/>
              <w:jc w:val="center"/>
              <w:rPr>
                <w:rFonts w:ascii="Arial" w:hAnsi="Arial" w:cs="Arial" w:hint="eastAsia"/>
                <w:bCs/>
                <w:iCs/>
              </w:rPr>
            </w:pPr>
            <w:r w:rsidRPr="00011B46">
              <w:rPr>
                <w:rFonts w:ascii="Arial" w:hAnsi="Arial" w:cs="Arial"/>
                <w:bCs/>
                <w:iCs/>
              </w:rPr>
              <w:t>Higor de Barros Pinto</w:t>
            </w:r>
          </w:p>
        </w:tc>
        <w:tc>
          <w:tcPr>
            <w:tcW w:w="2268"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556D1B30" w14:textId="77777777" w:rsidR="00011B46" w:rsidRPr="00011B46" w:rsidRDefault="00011B46" w:rsidP="0018481E">
            <w:pPr>
              <w:spacing w:line="276" w:lineRule="auto"/>
              <w:jc w:val="center"/>
              <w:rPr>
                <w:rFonts w:ascii="Arial" w:hAnsi="Arial" w:cs="Arial" w:hint="eastAsia"/>
                <w:bCs/>
                <w:iCs/>
              </w:rPr>
            </w:pPr>
            <w:r w:rsidRPr="00011B46">
              <w:rPr>
                <w:rFonts w:ascii="Arial" w:hAnsi="Arial" w:cs="Arial"/>
                <w:bCs/>
                <w:iCs/>
              </w:rPr>
              <w:t>062.871</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top w:w="28" w:type="dxa"/>
              <w:left w:w="0" w:type="dxa"/>
              <w:bottom w:w="28" w:type="dxa"/>
              <w:right w:w="28" w:type="dxa"/>
            </w:tcMar>
            <w:vAlign w:val="center"/>
          </w:tcPr>
          <w:p w14:paraId="55B8F540" w14:textId="77777777" w:rsidR="00011B46" w:rsidRPr="00011B46" w:rsidRDefault="00011B46" w:rsidP="0018481E">
            <w:pPr>
              <w:spacing w:line="276" w:lineRule="auto"/>
              <w:jc w:val="center"/>
              <w:rPr>
                <w:rFonts w:ascii="Arial" w:hAnsi="Arial" w:cs="Arial" w:hint="eastAsia"/>
                <w:bCs/>
                <w:iCs/>
              </w:rPr>
            </w:pPr>
            <w:r w:rsidRPr="00011B46">
              <w:rPr>
                <w:rFonts w:ascii="Arial" w:hAnsi="Arial" w:cs="Arial"/>
                <w:bCs/>
                <w:iCs/>
              </w:rPr>
              <w:t>Gestor Titular</w:t>
            </w:r>
          </w:p>
        </w:tc>
      </w:tr>
      <w:tr w:rsidR="00011B46" w:rsidRPr="00011B46" w14:paraId="2CDA430E" w14:textId="77777777" w:rsidTr="00656DA5">
        <w:tblPrEx>
          <w:tblCellMar>
            <w:top w:w="0" w:type="dxa"/>
            <w:bottom w:w="0" w:type="dxa"/>
          </w:tblCellMar>
        </w:tblPrEx>
        <w:trPr>
          <w:trHeight w:val="32"/>
        </w:trPr>
        <w:tc>
          <w:tcPr>
            <w:tcW w:w="3686"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6E1C4242" w14:textId="77777777" w:rsidR="00011B46" w:rsidRPr="00011B46" w:rsidRDefault="00011B46" w:rsidP="00656DA5">
            <w:pPr>
              <w:spacing w:line="276" w:lineRule="auto"/>
              <w:jc w:val="center"/>
              <w:rPr>
                <w:rFonts w:ascii="Arial" w:hAnsi="Arial" w:cs="Arial"/>
                <w:bCs/>
                <w:iCs/>
              </w:rPr>
            </w:pPr>
            <w:r w:rsidRPr="00011B46">
              <w:rPr>
                <w:rFonts w:ascii="Arial" w:hAnsi="Arial" w:cs="Arial"/>
                <w:bCs/>
                <w:iCs/>
              </w:rPr>
              <w:t>Igor Faria de Jesus</w:t>
            </w:r>
          </w:p>
        </w:tc>
        <w:tc>
          <w:tcPr>
            <w:tcW w:w="2268" w:type="dxa"/>
            <w:tcBorders>
              <w:top w:val="single" w:sz="8" w:space="0" w:color="000001"/>
              <w:left w:val="single" w:sz="8" w:space="0" w:color="000001"/>
              <w:bottom w:val="single" w:sz="8" w:space="0" w:color="000001"/>
            </w:tcBorders>
            <w:shd w:val="clear" w:color="auto" w:fill="auto"/>
            <w:tcMar>
              <w:top w:w="28" w:type="dxa"/>
              <w:left w:w="0" w:type="dxa"/>
              <w:bottom w:w="28" w:type="dxa"/>
              <w:right w:w="28" w:type="dxa"/>
            </w:tcMar>
            <w:vAlign w:val="center"/>
          </w:tcPr>
          <w:p w14:paraId="4D26BFFB" w14:textId="77777777" w:rsidR="00011B46" w:rsidRPr="00011B46" w:rsidRDefault="00011B46" w:rsidP="0018481E">
            <w:pPr>
              <w:spacing w:line="276" w:lineRule="auto"/>
              <w:jc w:val="center"/>
              <w:rPr>
                <w:rFonts w:ascii="Arial" w:hAnsi="Arial" w:cs="Arial"/>
                <w:bCs/>
                <w:iCs/>
              </w:rPr>
            </w:pPr>
            <w:r w:rsidRPr="00011B46">
              <w:rPr>
                <w:rFonts w:ascii="Arial" w:hAnsi="Arial" w:cs="Arial"/>
                <w:bCs/>
                <w:iCs/>
              </w:rPr>
              <w:t>063.036</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top w:w="28" w:type="dxa"/>
              <w:left w:w="0" w:type="dxa"/>
              <w:bottom w:w="28" w:type="dxa"/>
              <w:right w:w="28" w:type="dxa"/>
            </w:tcMar>
            <w:vAlign w:val="center"/>
          </w:tcPr>
          <w:p w14:paraId="629FF080" w14:textId="77777777" w:rsidR="00011B46" w:rsidRPr="00011B46" w:rsidRDefault="00011B46" w:rsidP="0018481E">
            <w:pPr>
              <w:spacing w:line="276" w:lineRule="auto"/>
              <w:jc w:val="center"/>
              <w:rPr>
                <w:rFonts w:ascii="Arial" w:hAnsi="Arial" w:cs="Arial" w:hint="eastAsia"/>
                <w:bCs/>
                <w:iCs/>
              </w:rPr>
            </w:pPr>
            <w:r w:rsidRPr="00011B46">
              <w:rPr>
                <w:rFonts w:ascii="Arial" w:hAnsi="Arial" w:cs="Arial"/>
                <w:bCs/>
                <w:iCs/>
              </w:rPr>
              <w:t>Gestor Substituto</w:t>
            </w:r>
          </w:p>
        </w:tc>
      </w:tr>
    </w:tbl>
    <w:p w14:paraId="4C4B40C9" w14:textId="77777777" w:rsidR="00011B46" w:rsidRPr="00011B46" w:rsidRDefault="00011B46" w:rsidP="00011B46">
      <w:pPr>
        <w:pStyle w:val="Nivel2"/>
        <w:spacing w:before="0" w:after="0"/>
        <w:rPr>
          <w:rFonts w:eastAsia="Verdana"/>
          <w:bCs/>
          <w:iCs/>
          <w:color w:val="auto"/>
          <w:sz w:val="22"/>
          <w:szCs w:val="22"/>
          <w:lang w:val="pt-PT" w:eastAsia="en-US"/>
        </w:rPr>
      </w:pPr>
    </w:p>
    <w:p w14:paraId="7E012A8B" w14:textId="725F3AEA" w:rsidR="00011B46" w:rsidRPr="00011B46" w:rsidRDefault="00390DB5" w:rsidP="00390DB5">
      <w:pPr>
        <w:pStyle w:val="Nivel3"/>
        <w:numPr>
          <w:ilvl w:val="2"/>
          <w:numId w:val="2"/>
        </w:numPr>
        <w:tabs>
          <w:tab w:val="left" w:pos="360"/>
        </w:tabs>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p>
    <w:p w14:paraId="0DCA1A4C" w14:textId="7BE4802D" w:rsidR="00011B46" w:rsidRPr="00011B46" w:rsidRDefault="00390DB5" w:rsidP="00390DB5">
      <w:pPr>
        <w:pStyle w:val="Nivel3"/>
        <w:numPr>
          <w:ilvl w:val="2"/>
          <w:numId w:val="2"/>
        </w:numPr>
        <w:tabs>
          <w:tab w:val="left" w:pos="360"/>
        </w:tabs>
        <w:suppressAutoHyphens/>
        <w:autoSpaceDN w:val="0"/>
        <w:spacing w:before="0" w:after="0"/>
        <w:ind w:left="0" w:firstLine="0"/>
        <w:rPr>
          <w:rFonts w:eastAsia="Verdana"/>
          <w:bCs/>
          <w:iCs/>
          <w:color w:val="auto"/>
          <w:sz w:val="22"/>
          <w:szCs w:val="22"/>
          <w:lang w:val="pt-PT" w:eastAsia="en-US"/>
        </w:rPr>
      </w:pPr>
      <w:bookmarkStart w:id="6" w:name="art117§2"/>
      <w:bookmarkEnd w:id="6"/>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1D5F9C92" w14:textId="0F7AA105" w:rsidR="00011B46" w:rsidRPr="00011B46" w:rsidRDefault="00390DB5"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8064109" w14:textId="29792986" w:rsidR="00011B46" w:rsidRPr="00011B46" w:rsidRDefault="00571B00"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bookmarkStart w:id="7" w:name="art120"/>
      <w:bookmarkEnd w:id="7"/>
      <w:r>
        <w:rPr>
          <w:rFonts w:eastAsia="Verdana"/>
          <w:bCs/>
          <w:iCs/>
          <w:color w:val="auto"/>
          <w:sz w:val="22"/>
          <w:szCs w:val="22"/>
          <w:lang w:val="pt-PT" w:eastAsia="en-US"/>
        </w:rPr>
        <w:lastRenderedPageBreak/>
        <w:t>-</w:t>
      </w:r>
      <w:r w:rsidR="00793806">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22F9F8B9" w14:textId="7AA5FD1F" w:rsidR="00011B46" w:rsidRPr="00011B46" w:rsidRDefault="00793806"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bookmarkStart w:id="8" w:name="art121"/>
      <w:bookmarkEnd w:id="8"/>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6AC78DD2" w14:textId="35B67F74" w:rsidR="00011B46" w:rsidRPr="00011B46" w:rsidRDefault="00793806" w:rsidP="00390DB5">
      <w:pPr>
        <w:pStyle w:val="Nivel3"/>
        <w:numPr>
          <w:ilvl w:val="2"/>
          <w:numId w:val="2"/>
        </w:numPr>
        <w:tabs>
          <w:tab w:val="left" w:pos="360"/>
        </w:tabs>
        <w:suppressAutoHyphens/>
        <w:autoSpaceDN w:val="0"/>
        <w:spacing w:before="0" w:after="0"/>
        <w:ind w:left="0" w:firstLine="0"/>
        <w:rPr>
          <w:rFonts w:eastAsia="Verdana"/>
          <w:bCs/>
          <w:iCs/>
          <w:color w:val="auto"/>
          <w:sz w:val="22"/>
          <w:szCs w:val="22"/>
          <w:lang w:val="pt-PT" w:eastAsia="en-US"/>
        </w:rPr>
      </w:pPr>
      <w:bookmarkStart w:id="9" w:name="art121§1"/>
      <w:bookmarkEnd w:id="9"/>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0498AF79" w14:textId="05280E8D" w:rsidR="00011B46" w:rsidRPr="00011B46" w:rsidRDefault="00793806"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bookmarkStart w:id="10" w:name="art123"/>
      <w:bookmarkStart w:id="11" w:name="art122§3"/>
      <w:bookmarkStart w:id="12" w:name="art122§1"/>
      <w:bookmarkStart w:id="13" w:name="art122§2"/>
      <w:bookmarkStart w:id="14" w:name="art122"/>
      <w:bookmarkEnd w:id="10"/>
      <w:bookmarkEnd w:id="11"/>
      <w:bookmarkEnd w:id="12"/>
      <w:bookmarkEnd w:id="13"/>
      <w:bookmarkEnd w:id="14"/>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 (IN 5/2017, art. 44, §2º).</w:t>
      </w:r>
    </w:p>
    <w:p w14:paraId="709063EF" w14:textId="0F675770" w:rsidR="00011B46" w:rsidRPr="00011B46" w:rsidRDefault="00793806"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O órgão ou entidade poderá convocar representante da empresa para adoção de providências que devam ser cumpridas de imediato (IN 5/2017, art. 44, 31º).</w:t>
      </w:r>
    </w:p>
    <w:p w14:paraId="6E56C3C1" w14:textId="7B7453CD" w:rsidR="00011B46" w:rsidRPr="00011B46" w:rsidRDefault="00793806"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Antes do pagamento da nota fiscal ou da fatura, deverá ser consultada a situação da empresa junto ao SICAF.</w:t>
      </w:r>
    </w:p>
    <w:p w14:paraId="11A0ADBD" w14:textId="1B71B5F3" w:rsidR="00011B46" w:rsidRPr="00011B46" w:rsidRDefault="00793806" w:rsidP="00571B00">
      <w:pPr>
        <w:pStyle w:val="Nivel2"/>
        <w:numPr>
          <w:ilvl w:val="2"/>
          <w:numId w:val="2"/>
        </w:numPr>
        <w:suppressAutoHyphens/>
        <w:autoSpaceDN w:val="0"/>
        <w:spacing w:before="0" w:after="0"/>
        <w:ind w:left="0" w:firstLine="0"/>
        <w:rPr>
          <w:rFonts w:eastAsia="Verdana"/>
          <w:bCs/>
          <w:iCs/>
          <w:color w:val="auto"/>
          <w:sz w:val="22"/>
          <w:szCs w:val="22"/>
          <w:lang w:val="pt-PT" w:eastAsia="en-US"/>
        </w:rPr>
      </w:pPr>
      <w:r>
        <w:rPr>
          <w:rFonts w:eastAsia="Verdana"/>
          <w:bCs/>
          <w:iCs/>
          <w:color w:val="auto"/>
          <w:sz w:val="22"/>
          <w:szCs w:val="22"/>
          <w:lang w:val="pt-PT" w:eastAsia="en-US"/>
        </w:rPr>
        <w:t xml:space="preserve">- </w:t>
      </w:r>
      <w:r w:rsidR="00011B46" w:rsidRPr="00011B46">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7172C7F" w14:textId="77777777" w:rsidR="007B0D84" w:rsidRPr="00011B46" w:rsidRDefault="007B0D84" w:rsidP="00011B46">
      <w:pPr>
        <w:pStyle w:val="PargrafodaLista"/>
        <w:widowControl/>
        <w:tabs>
          <w:tab w:val="left" w:pos="426"/>
        </w:tabs>
        <w:autoSpaceDE/>
        <w:autoSpaceDN/>
        <w:spacing w:before="0" w:line="360" w:lineRule="auto"/>
        <w:ind w:left="0"/>
        <w:jc w:val="both"/>
        <w:rPr>
          <w:rFonts w:ascii="Arial" w:hAnsi="Arial" w:cs="Arial"/>
          <w:bCs/>
          <w:iCs/>
        </w:rPr>
      </w:pPr>
    </w:p>
    <w:p w14:paraId="22193CCF" w14:textId="061360DF" w:rsidR="00C634F1" w:rsidRPr="008C13A3" w:rsidRDefault="00C634F1" w:rsidP="006F181E">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6F181E">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6F181E">
      <w:pPr>
        <w:pStyle w:val="PargrafodaLista"/>
        <w:widowControl/>
        <w:tabs>
          <w:tab w:val="left" w:pos="426"/>
        </w:tabs>
        <w:autoSpaceDE/>
        <w:autoSpaceDN/>
        <w:spacing w:before="0" w:line="360" w:lineRule="auto"/>
        <w:ind w:left="0"/>
        <w:jc w:val="both"/>
        <w:rPr>
          <w:rFonts w:ascii="Arial" w:hAnsi="Arial" w:cs="Arial"/>
          <w:bCs/>
          <w:i/>
          <w:iCs/>
          <w:color w:val="FF0000"/>
        </w:rPr>
      </w:pPr>
    </w:p>
    <w:p w14:paraId="273B40C6" w14:textId="1E842B3D" w:rsidR="004E079B" w:rsidRPr="008C13A3" w:rsidRDefault="001D32DF" w:rsidP="006F181E">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9E4B1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E4B14">
        <w:rPr>
          <w:rFonts w:ascii="Arial" w:hAnsi="Arial" w:cs="Arial"/>
          <w:bCs/>
          <w:iCs/>
        </w:rPr>
        <w:t>O valor total da contratação é de R$.......... (.....)</w:t>
      </w:r>
    </w:p>
    <w:p w14:paraId="19E0CAC1" w14:textId="3066B963" w:rsidR="001D32DF" w:rsidRPr="008C13A3"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9E4B1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E4B14">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18FA987" w14:textId="62D28747" w:rsidR="00BE4E9F" w:rsidRDefault="00BE4E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para pagamento ao contratado e demais condições a ele referentes encontram-se definidos no Termo de Referência, anexo a este Contrato.</w:t>
      </w:r>
    </w:p>
    <w:p w14:paraId="419C8FC0" w14:textId="77777777" w:rsidR="00651BC4" w:rsidRPr="008C13A3" w:rsidRDefault="00651BC4" w:rsidP="00651BC4">
      <w:pPr>
        <w:pStyle w:val="PargrafodaLista"/>
        <w:widowControl/>
        <w:tabs>
          <w:tab w:val="left" w:pos="426"/>
        </w:tabs>
        <w:autoSpaceDE/>
        <w:autoSpaceDN/>
        <w:spacing w:before="120" w:after="120" w:line="276" w:lineRule="auto"/>
        <w:ind w:left="0"/>
        <w:jc w:val="both"/>
        <w:rPr>
          <w:rFonts w:ascii="Arial" w:hAnsi="Arial" w:cs="Arial"/>
          <w:bCs/>
          <w:iCs/>
        </w:rPr>
      </w:pP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color w:val="FF0000"/>
        </w:rPr>
      </w:pPr>
      <w:r w:rsidRPr="00CD2CA4">
        <w:rPr>
          <w:rFonts w:ascii="Arial" w:hAnsi="Arial" w:cs="Arial"/>
          <w:bCs/>
          <w:iCs/>
        </w:rPr>
        <w:lastRenderedPageBreak/>
        <w:t>O</w:t>
      </w:r>
      <w:r w:rsidRPr="008C13A3">
        <w:rPr>
          <w:rFonts w:ascii="Arial" w:hAnsi="Arial" w:cs="Arial"/>
          <w:bCs/>
          <w:iCs/>
        </w:rPr>
        <w:t xml:space="preserve">s preços inicialmente contratados são fixos e irreajustáveis no prazo de um ano contado da data do orçamento estimado, em </w:t>
      </w:r>
      <w:r w:rsidRPr="00CD2CA4">
        <w:rPr>
          <w:rFonts w:ascii="Arial" w:hAnsi="Arial" w:cs="Arial"/>
          <w:bCs/>
          <w:iCs/>
        </w:rPr>
        <w:t>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043BB2A6"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 xml:space="preserve">no </w:t>
      </w:r>
      <w:r w:rsidR="000F697C">
        <w:rPr>
          <w:rFonts w:ascii="Arial" w:hAnsi="Arial" w:cs="Arial"/>
          <w:bCs/>
          <w:iCs/>
          <w:lang w:val="pt-BR"/>
        </w:rPr>
        <w:t>T</w:t>
      </w:r>
      <w:r w:rsidR="00244CA9" w:rsidRPr="008C13A3">
        <w:rPr>
          <w:rFonts w:ascii="Arial" w:hAnsi="Arial" w:cs="Arial"/>
          <w:bCs/>
          <w:iCs/>
          <w:lang w:val="pt-BR"/>
        </w:rPr>
        <w: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w:t>
      </w:r>
      <w:r w:rsidRPr="009E4B14">
        <w:rPr>
          <w:rFonts w:ascii="Arial" w:hAnsi="Arial" w:cs="Arial"/>
          <w:bCs/>
          <w:iCs/>
          <w:lang w:val="pt-BR"/>
        </w:rPr>
        <w:t xml:space="preserve">o prazo de </w:t>
      </w:r>
      <w:r w:rsidRPr="009E4B14">
        <w:rPr>
          <w:rFonts w:ascii="Arial" w:hAnsi="Arial" w:cs="Arial"/>
          <w:bCs/>
          <w:iCs/>
        </w:rPr>
        <w:t>1 (um) mês</w:t>
      </w:r>
      <w:r w:rsidRPr="009E4B14">
        <w:rPr>
          <w:rFonts w:ascii="Arial" w:hAnsi="Arial" w:cs="Arial"/>
          <w:bCs/>
          <w:iCs/>
          <w:lang w:val="pt-BR"/>
        </w:rPr>
        <w:t xml:space="preserve">, </w:t>
      </w:r>
      <w:r w:rsidRPr="008C13A3">
        <w:rPr>
          <w:rFonts w:ascii="Arial" w:hAnsi="Arial" w:cs="Arial"/>
          <w:bCs/>
          <w:iCs/>
          <w:lang w:val="pt-BR"/>
        </w:rPr>
        <w:t xml:space="preserve">a contar da data do protocolo do requerimento para decidir, admitida a prorrogação motivada, por igual período. </w:t>
      </w:r>
    </w:p>
    <w:p w14:paraId="5F21FBC5" w14:textId="2BF7760D"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Responder eventuais pedidos de reestabelecimento do equilíbrio econômico-financeiro feitos pelo contratado no prazo máximo </w:t>
      </w:r>
      <w:r w:rsidRPr="009E4B14">
        <w:rPr>
          <w:rFonts w:ascii="Arial" w:hAnsi="Arial" w:cs="Arial"/>
          <w:bCs/>
          <w:iCs/>
          <w:lang w:val="pt-BR"/>
        </w:rPr>
        <w:t xml:space="preserve">de </w:t>
      </w:r>
      <w:r w:rsidRPr="009E4B14">
        <w:rPr>
          <w:rFonts w:ascii="Arial" w:hAnsi="Arial" w:cs="Arial"/>
          <w:bCs/>
          <w:iCs/>
        </w:rPr>
        <w:t>1 (um) mês</w:t>
      </w:r>
      <w:r w:rsidRPr="009E4B14">
        <w:rPr>
          <w:rFonts w:ascii="Arial" w:hAnsi="Arial" w:cs="Arial"/>
          <w:bCs/>
          <w:iCs/>
          <w:lang w:val="pt-BR"/>
        </w:rPr>
        <w:t>.</w:t>
      </w:r>
    </w:p>
    <w:p w14:paraId="5080FE7D" w14:textId="5899F6D2"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59EC58F" w14:textId="77777777" w:rsidR="004B18EA" w:rsidRPr="008C13A3" w:rsidRDefault="004B18EA" w:rsidP="004B18EA">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FA36FA1" w14:textId="77777777" w:rsidR="00583909" w:rsidRPr="009E4B14"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9E4B14">
        <w:rPr>
          <w:rFonts w:ascii="Arial" w:hAnsi="Arial" w:cs="Arial"/>
        </w:rPr>
        <w:t>Entregar o objeto acompanhado do manual do usuário, com uma versão em português, e da relação da rede de assistência técnica autorizada;</w:t>
      </w:r>
    </w:p>
    <w:p w14:paraId="045D895A" w14:textId="77777777" w:rsidR="00583909" w:rsidRPr="008C13A3"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Responsabilizar-se pelos vícios e danos decorrentes da execução do objeto, bem como por todo e qualquer dano causado à Administração ou terceiros, não reduzindo essa </w:t>
      </w:r>
      <w:r w:rsidRPr="008C13A3">
        <w:rPr>
          <w:rFonts w:ascii="Arial" w:hAnsi="Arial" w:cs="Arial"/>
        </w:rPr>
        <w:lastRenderedPageBreak/>
        <w:t>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651BC4">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651BC4">
      <w:pPr>
        <w:pStyle w:val="Nivel2"/>
        <w:numPr>
          <w:ilvl w:val="1"/>
          <w:numId w:val="2"/>
        </w:numPr>
        <w:ind w:left="0" w:firstLine="0"/>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651BC4">
      <w:pPr>
        <w:pStyle w:val="Nivel2"/>
        <w:numPr>
          <w:ilvl w:val="1"/>
          <w:numId w:val="2"/>
        </w:numPr>
        <w:ind w:left="0" w:firstLine="0"/>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651BC4">
      <w:pPr>
        <w:pStyle w:val="Nivel2"/>
        <w:numPr>
          <w:ilvl w:val="1"/>
          <w:numId w:val="2"/>
        </w:numPr>
        <w:ind w:left="0" w:firstLine="0"/>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651BC4">
      <w:pPr>
        <w:pStyle w:val="Nivel2"/>
        <w:numPr>
          <w:ilvl w:val="1"/>
          <w:numId w:val="2"/>
        </w:numPr>
        <w:ind w:left="0" w:firstLine="0"/>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0D1D4633" w:rsidR="004A20F0" w:rsidRPr="008C13A3" w:rsidRDefault="004A20F0" w:rsidP="00651BC4">
      <w:pPr>
        <w:pStyle w:val="Nivel2"/>
        <w:numPr>
          <w:ilvl w:val="1"/>
          <w:numId w:val="2"/>
        </w:numPr>
        <w:spacing w:before="0" w:after="0" w:line="360" w:lineRule="auto"/>
        <w:ind w:left="0" w:firstLine="0"/>
        <w:rPr>
          <w:sz w:val="22"/>
          <w:szCs w:val="22"/>
        </w:rPr>
      </w:pPr>
      <w:r w:rsidRPr="008C13A3">
        <w:rPr>
          <w:sz w:val="22"/>
          <w:szCs w:val="22"/>
        </w:rPr>
        <w:t>Cumprir, além dos postulados legais vigentes de âmbito federal, estadual ou municipal, as normas de segurança do contratante</w:t>
      </w:r>
      <w:r w:rsidR="00FD7824">
        <w:rPr>
          <w:sz w:val="22"/>
          <w:szCs w:val="22"/>
        </w:rPr>
        <w:t>.</w:t>
      </w:r>
    </w:p>
    <w:p w14:paraId="02074FDA" w14:textId="77777777" w:rsidR="004A20F0" w:rsidRPr="008C13A3" w:rsidRDefault="004A20F0" w:rsidP="00576F3A">
      <w:pPr>
        <w:pStyle w:val="PargrafodaLista"/>
        <w:tabs>
          <w:tab w:val="left" w:pos="284"/>
        </w:tabs>
        <w:spacing w:before="0" w:line="360" w:lineRule="auto"/>
        <w:ind w:left="0"/>
        <w:rPr>
          <w:rFonts w:ascii="Arial" w:eastAsiaTheme="majorEastAsia" w:hAnsi="Arial" w:cs="Arial"/>
          <w:b/>
          <w:bCs/>
          <w:lang w:val="pt-BR" w:eastAsia="pt-BR"/>
        </w:rPr>
      </w:pPr>
    </w:p>
    <w:p w14:paraId="08F3143E" w14:textId="02E0B834" w:rsidR="003A3482" w:rsidRPr="008C13A3" w:rsidRDefault="003A3482" w:rsidP="00576F3A">
      <w:pPr>
        <w:pStyle w:val="PargrafodaLista"/>
        <w:numPr>
          <w:ilvl w:val="0"/>
          <w:numId w:val="2"/>
        </w:numPr>
        <w:tabs>
          <w:tab w:val="left" w:pos="284"/>
        </w:tabs>
        <w:spacing w:before="0" w:line="360"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FD7824" w:rsidRDefault="003A3482" w:rsidP="00576F3A">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lang w:val="pt-BR"/>
        </w:rPr>
      </w:pPr>
      <w:r w:rsidRPr="008C13A3">
        <w:rPr>
          <w:rFonts w:ascii="Arial" w:hAnsi="Arial" w:cs="Arial"/>
          <w:bCs/>
          <w:iCs/>
          <w:lang w:val="pt-BR"/>
        </w:rPr>
        <w:t xml:space="preserve">  </w:t>
      </w:r>
      <w:r w:rsidRPr="00FD7824">
        <w:rPr>
          <w:rFonts w:ascii="Arial" w:hAnsi="Arial" w:cs="Arial"/>
          <w:bCs/>
          <w:iCs/>
          <w:lang w:val="pt-BR"/>
        </w:rPr>
        <w:t>Não haverá exigência de garantia contratual da execução.</w:t>
      </w:r>
    </w:p>
    <w:p w14:paraId="4BAD1112" w14:textId="77777777" w:rsidR="009C02ED" w:rsidRPr="008C13A3" w:rsidRDefault="009C02ED" w:rsidP="00576F3A">
      <w:pPr>
        <w:pStyle w:val="PargrafodaLista"/>
        <w:widowControl/>
        <w:tabs>
          <w:tab w:val="left" w:pos="426"/>
        </w:tabs>
        <w:autoSpaceDE/>
        <w:autoSpaceDN/>
        <w:spacing w:before="0" w:line="360" w:lineRule="auto"/>
        <w:ind w:left="0"/>
        <w:jc w:val="both"/>
        <w:rPr>
          <w:rFonts w:ascii="Arial" w:hAnsi="Arial" w:cs="Arial"/>
          <w:bCs/>
          <w:i/>
          <w:color w:val="FF0000"/>
          <w:lang w:val="pt-BR"/>
        </w:rPr>
      </w:pPr>
    </w:p>
    <w:p w14:paraId="59A26649" w14:textId="7E81CE04" w:rsidR="009C02ED" w:rsidRPr="008C13A3" w:rsidRDefault="009C02ED" w:rsidP="00576F3A">
      <w:pPr>
        <w:pStyle w:val="PargrafodaLista"/>
        <w:numPr>
          <w:ilvl w:val="0"/>
          <w:numId w:val="2"/>
        </w:numPr>
        <w:tabs>
          <w:tab w:val="left" w:pos="284"/>
        </w:tabs>
        <w:spacing w:before="0" w:line="360"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lastRenderedPageBreak/>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Compensatória, para as infrações descritas nas alíneas “e” a “h” do subitem 12.1,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5573152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12.1,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32CD9C2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infração descrita na alínea “b” do subitem 12.1,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7F43CBF9"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infrações descritas na alínea “d” do subitem 12.1,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C7C94F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a infração descrita na alínea “a” do subitem 12.1,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D82D05">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D82D05">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D82D05">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D82D05">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773EAC">
      <w:pPr>
        <w:pStyle w:val="PargrafodaLista"/>
        <w:widowControl/>
        <w:numPr>
          <w:ilvl w:val="1"/>
          <w:numId w:val="8"/>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0F74443F" w:rsidR="003444FD" w:rsidRPr="008C13A3" w:rsidRDefault="003444FD" w:rsidP="00773EAC">
      <w:pPr>
        <w:pStyle w:val="PargrafodaLista"/>
        <w:widowControl/>
        <w:numPr>
          <w:ilvl w:val="1"/>
          <w:numId w:val="8"/>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r w:rsidR="00773EAC">
        <w:rPr>
          <w:rFonts w:ascii="Arial" w:hAnsi="Arial" w:cs="Arial"/>
        </w:rPr>
        <w:t>.</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773EA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773EA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773EAC">
      <w:pPr>
        <w:pStyle w:val="PargrafodaLista"/>
        <w:widowControl/>
        <w:numPr>
          <w:ilvl w:val="3"/>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773EA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773EA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773EA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773EA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37299AE" w:rsidR="002E43FD" w:rsidRPr="008C13A3"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32E217AE" w14:textId="77777777" w:rsidR="002E43FD" w:rsidRPr="008C13A3" w:rsidRDefault="002E43FD"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lang w:val="pt-BR"/>
        </w:rPr>
        <w:t>As despesas decorrentes da presente contratação correrão à conta de recursos específicos consignados no Orçamento Geral da União deste exercício, na dotação abaixo discriminada:</w:t>
      </w:r>
    </w:p>
    <w:p w14:paraId="26B3480D" w14:textId="61CB06BC" w:rsidR="002E43FD" w:rsidRDefault="002E43FD" w:rsidP="00576F3A">
      <w:pPr>
        <w:pStyle w:val="PargrafodaLista"/>
        <w:numPr>
          <w:ilvl w:val="1"/>
          <w:numId w:val="9"/>
        </w:numPr>
        <w:tabs>
          <w:tab w:val="left" w:pos="2268"/>
        </w:tabs>
        <w:ind w:left="709" w:firstLine="0"/>
        <w:jc w:val="both"/>
        <w:rPr>
          <w:rFonts w:ascii="Arial" w:hAnsi="Arial" w:cs="Arial"/>
          <w:lang w:val="pt-BR"/>
        </w:rPr>
      </w:pPr>
      <w:r w:rsidRPr="008C13A3">
        <w:rPr>
          <w:rFonts w:ascii="Arial" w:hAnsi="Arial" w:cs="Arial"/>
          <w:lang w:val="pt-BR"/>
        </w:rPr>
        <w:t xml:space="preserve">Gestão/Unidade: </w:t>
      </w:r>
      <w:r w:rsidR="00576F3A" w:rsidRPr="00576F3A">
        <w:rPr>
          <w:rFonts w:ascii="Arial" w:hAnsi="Arial" w:cs="Arial"/>
          <w:lang w:val="pt-BR"/>
        </w:rPr>
        <w:t>Hospital Municipal Raul Sertã;</w:t>
      </w:r>
    </w:p>
    <w:p w14:paraId="36202F79" w14:textId="77777777" w:rsidR="00576F3A" w:rsidRPr="00576F3A" w:rsidRDefault="00576F3A" w:rsidP="00576F3A">
      <w:pPr>
        <w:pStyle w:val="PargrafodaLista"/>
        <w:tabs>
          <w:tab w:val="left" w:pos="2268"/>
        </w:tabs>
        <w:ind w:left="709"/>
        <w:jc w:val="both"/>
        <w:rPr>
          <w:rFonts w:ascii="Arial" w:hAnsi="Arial" w:cs="Arial"/>
          <w:lang w:val="pt-BR"/>
        </w:rPr>
      </w:pPr>
      <w:r w:rsidRPr="00576F3A">
        <w:rPr>
          <w:rFonts w:ascii="Arial" w:hAnsi="Arial" w:cs="Arial"/>
          <w:lang w:val="pt-BR"/>
        </w:rPr>
        <w:t>Hospital Maternidade Dr. Mário Dutra de Castro;</w:t>
      </w:r>
    </w:p>
    <w:p w14:paraId="0BCA0B34" w14:textId="6D436095" w:rsidR="00576F3A" w:rsidRPr="00576F3A" w:rsidRDefault="00576F3A" w:rsidP="00576F3A">
      <w:pPr>
        <w:pStyle w:val="PargrafodaLista"/>
        <w:tabs>
          <w:tab w:val="left" w:pos="2268"/>
        </w:tabs>
        <w:ind w:left="709"/>
        <w:jc w:val="both"/>
        <w:rPr>
          <w:rFonts w:ascii="Arial" w:hAnsi="Arial" w:cs="Arial"/>
          <w:lang w:val="pt-BR"/>
        </w:rPr>
      </w:pPr>
      <w:r w:rsidRPr="00576F3A">
        <w:rPr>
          <w:rFonts w:ascii="Arial" w:hAnsi="Arial" w:cs="Arial"/>
          <w:lang w:val="pt-BR"/>
        </w:rPr>
        <w:t>Subsecretaria de Atenção Básica;</w:t>
      </w:r>
    </w:p>
    <w:p w14:paraId="611C7FFD" w14:textId="77777777" w:rsidR="00576F3A" w:rsidRPr="00576F3A" w:rsidRDefault="00576F3A" w:rsidP="00576F3A">
      <w:pPr>
        <w:pStyle w:val="PargrafodaLista"/>
        <w:tabs>
          <w:tab w:val="left" w:pos="2268"/>
        </w:tabs>
        <w:ind w:left="709"/>
        <w:jc w:val="both"/>
        <w:rPr>
          <w:rFonts w:ascii="Arial" w:hAnsi="Arial" w:cs="Arial"/>
          <w:lang w:val="pt-BR"/>
        </w:rPr>
      </w:pPr>
      <w:r w:rsidRPr="00576F3A">
        <w:rPr>
          <w:rFonts w:ascii="Arial" w:hAnsi="Arial" w:cs="Arial"/>
          <w:lang w:val="pt-BR"/>
        </w:rPr>
        <w:t>Estratégia de Saúde da Família;</w:t>
      </w:r>
    </w:p>
    <w:p w14:paraId="1D66EC4C" w14:textId="77777777" w:rsidR="00576F3A" w:rsidRPr="00576F3A" w:rsidRDefault="00576F3A" w:rsidP="00576F3A">
      <w:pPr>
        <w:pStyle w:val="PargrafodaLista"/>
        <w:tabs>
          <w:tab w:val="left" w:pos="2268"/>
        </w:tabs>
        <w:ind w:left="709"/>
        <w:jc w:val="both"/>
        <w:rPr>
          <w:rFonts w:ascii="Arial" w:hAnsi="Arial" w:cs="Arial"/>
          <w:lang w:val="pt-BR"/>
        </w:rPr>
      </w:pPr>
      <w:r w:rsidRPr="00576F3A">
        <w:rPr>
          <w:rFonts w:ascii="Arial" w:hAnsi="Arial" w:cs="Arial"/>
          <w:lang w:val="pt-BR"/>
        </w:rPr>
        <w:t>Programa Melhor em Casa;</w:t>
      </w:r>
    </w:p>
    <w:p w14:paraId="44CE36FC" w14:textId="77777777" w:rsidR="00576F3A" w:rsidRPr="008C13A3" w:rsidRDefault="00576F3A" w:rsidP="00576F3A">
      <w:pPr>
        <w:pStyle w:val="PargrafodaLista"/>
        <w:tabs>
          <w:tab w:val="left" w:pos="2268"/>
        </w:tabs>
        <w:ind w:left="709"/>
        <w:jc w:val="both"/>
        <w:rPr>
          <w:rFonts w:ascii="Arial" w:hAnsi="Arial" w:cs="Arial"/>
          <w:lang w:val="pt-BR"/>
        </w:rPr>
      </w:pPr>
    </w:p>
    <w:p w14:paraId="46DFEC65" w14:textId="6CDFF041" w:rsidR="002E43FD" w:rsidRPr="008C13A3" w:rsidRDefault="002E43FD" w:rsidP="00576F3A">
      <w:pPr>
        <w:pStyle w:val="PargrafodaLista"/>
        <w:numPr>
          <w:ilvl w:val="1"/>
          <w:numId w:val="9"/>
        </w:numPr>
        <w:tabs>
          <w:tab w:val="left" w:pos="2268"/>
        </w:tabs>
        <w:ind w:left="709" w:firstLine="0"/>
        <w:jc w:val="both"/>
        <w:rPr>
          <w:rFonts w:ascii="Arial" w:hAnsi="Arial" w:cs="Arial"/>
          <w:lang w:val="pt-BR"/>
        </w:rPr>
      </w:pPr>
      <w:r w:rsidRPr="008C13A3">
        <w:rPr>
          <w:rFonts w:ascii="Arial" w:hAnsi="Arial" w:cs="Arial"/>
          <w:lang w:val="pt-BR"/>
        </w:rPr>
        <w:t xml:space="preserve">Fonte de Recursos:  </w:t>
      </w:r>
      <w:r w:rsidR="00576F3A">
        <w:rPr>
          <w:rFonts w:ascii="Arial" w:hAnsi="Arial" w:cs="Arial"/>
          <w:lang w:val="pt-BR"/>
        </w:rPr>
        <w:t>1600</w:t>
      </w:r>
    </w:p>
    <w:p w14:paraId="177CB815" w14:textId="5BE7738F" w:rsidR="002E43FD" w:rsidRDefault="002E43FD" w:rsidP="00576F3A">
      <w:pPr>
        <w:pStyle w:val="PargrafodaLista"/>
        <w:numPr>
          <w:ilvl w:val="1"/>
          <w:numId w:val="9"/>
        </w:numPr>
        <w:tabs>
          <w:tab w:val="left" w:pos="2268"/>
        </w:tabs>
        <w:ind w:left="709" w:firstLine="0"/>
        <w:jc w:val="both"/>
        <w:rPr>
          <w:rFonts w:ascii="Arial" w:hAnsi="Arial" w:cs="Arial"/>
          <w:lang w:val="pt-BR"/>
        </w:rPr>
      </w:pPr>
      <w:r w:rsidRPr="008C13A3">
        <w:rPr>
          <w:rFonts w:ascii="Arial" w:hAnsi="Arial" w:cs="Arial"/>
          <w:lang w:val="pt-BR"/>
        </w:rPr>
        <w:t xml:space="preserve">Programa de Trabalho: </w:t>
      </w:r>
    </w:p>
    <w:p w14:paraId="67219B01" w14:textId="77777777" w:rsidR="00576F3A" w:rsidRPr="00576F3A" w:rsidRDefault="00576F3A" w:rsidP="00576F3A">
      <w:pPr>
        <w:pStyle w:val="PargrafodaLista"/>
        <w:spacing w:line="276" w:lineRule="auto"/>
        <w:ind w:left="709"/>
        <w:jc w:val="both"/>
        <w:rPr>
          <w:rFonts w:ascii="Arial" w:hAnsi="Arial" w:cs="Arial"/>
          <w:lang w:val="pt-BR"/>
        </w:rPr>
      </w:pPr>
      <w:r w:rsidRPr="00576F3A">
        <w:rPr>
          <w:rFonts w:ascii="Arial" w:hAnsi="Arial" w:cs="Arial"/>
          <w:lang w:val="pt-BR"/>
        </w:rPr>
        <w:t>30001.1030200852.202;</w:t>
      </w:r>
    </w:p>
    <w:p w14:paraId="0F445F2A" w14:textId="77777777" w:rsidR="00576F3A" w:rsidRPr="00576F3A" w:rsidRDefault="00576F3A" w:rsidP="00576F3A">
      <w:pPr>
        <w:pStyle w:val="PargrafodaLista"/>
        <w:spacing w:line="276" w:lineRule="auto"/>
        <w:ind w:left="709"/>
        <w:jc w:val="both"/>
        <w:rPr>
          <w:rFonts w:ascii="Arial" w:hAnsi="Arial" w:cs="Arial"/>
          <w:lang w:val="pt-BR"/>
        </w:rPr>
      </w:pPr>
      <w:r w:rsidRPr="00576F3A">
        <w:rPr>
          <w:rFonts w:ascii="Arial" w:hAnsi="Arial" w:cs="Arial"/>
          <w:lang w:val="pt-BR"/>
        </w:rPr>
        <w:t>30001.1030200852.203;</w:t>
      </w:r>
    </w:p>
    <w:p w14:paraId="4D039404" w14:textId="77777777" w:rsidR="00576F3A" w:rsidRPr="00576F3A" w:rsidRDefault="00576F3A" w:rsidP="00576F3A">
      <w:pPr>
        <w:pStyle w:val="PargrafodaLista"/>
        <w:spacing w:line="276" w:lineRule="auto"/>
        <w:ind w:left="709"/>
        <w:jc w:val="both"/>
        <w:rPr>
          <w:rFonts w:ascii="Arial" w:hAnsi="Arial" w:cs="Arial"/>
          <w:lang w:val="pt-BR"/>
        </w:rPr>
      </w:pPr>
      <w:r w:rsidRPr="00576F3A">
        <w:rPr>
          <w:rFonts w:ascii="Arial" w:hAnsi="Arial" w:cs="Arial"/>
          <w:lang w:val="pt-BR"/>
        </w:rPr>
        <w:lastRenderedPageBreak/>
        <w:t>30001.10.301.0083.2.193;</w:t>
      </w:r>
    </w:p>
    <w:p w14:paraId="1D523B6A" w14:textId="77777777" w:rsidR="00576F3A" w:rsidRPr="00576F3A" w:rsidRDefault="00576F3A" w:rsidP="00576F3A">
      <w:pPr>
        <w:pStyle w:val="PargrafodaLista"/>
        <w:spacing w:line="276" w:lineRule="auto"/>
        <w:ind w:left="709"/>
        <w:jc w:val="both"/>
        <w:rPr>
          <w:rFonts w:ascii="Arial" w:hAnsi="Arial" w:cs="Arial"/>
          <w:lang w:val="pt-BR"/>
        </w:rPr>
      </w:pPr>
      <w:r w:rsidRPr="00576F3A">
        <w:rPr>
          <w:rFonts w:ascii="Arial" w:hAnsi="Arial" w:cs="Arial"/>
          <w:lang w:val="pt-BR"/>
        </w:rPr>
        <w:t>30001.10.301.0083.2.194;</w:t>
      </w:r>
    </w:p>
    <w:p w14:paraId="59492BC9" w14:textId="76BE22CD" w:rsidR="00576F3A" w:rsidRPr="008C13A3" w:rsidRDefault="00576F3A" w:rsidP="00576F3A">
      <w:pPr>
        <w:pStyle w:val="PargrafodaLista"/>
        <w:tabs>
          <w:tab w:val="left" w:pos="2268"/>
        </w:tabs>
        <w:ind w:left="709"/>
        <w:jc w:val="both"/>
        <w:rPr>
          <w:rFonts w:ascii="Arial" w:hAnsi="Arial" w:cs="Arial"/>
          <w:lang w:val="pt-BR"/>
        </w:rPr>
      </w:pPr>
      <w:r w:rsidRPr="00576F3A">
        <w:rPr>
          <w:rFonts w:ascii="Arial" w:hAnsi="Arial" w:cs="Arial"/>
          <w:lang w:val="pt-BR"/>
        </w:rPr>
        <w:t>30001.10.301.0083.2.199;</w:t>
      </w:r>
    </w:p>
    <w:p w14:paraId="26AECBDB" w14:textId="376B4118" w:rsidR="002E43FD" w:rsidRPr="008C13A3" w:rsidRDefault="002E43FD" w:rsidP="00037E5C">
      <w:pPr>
        <w:pStyle w:val="PargrafodaLista"/>
        <w:numPr>
          <w:ilvl w:val="1"/>
          <w:numId w:val="9"/>
        </w:numPr>
        <w:tabs>
          <w:tab w:val="left" w:pos="2268"/>
        </w:tabs>
        <w:ind w:left="1134" w:hanging="284"/>
        <w:jc w:val="both"/>
        <w:rPr>
          <w:rFonts w:ascii="Arial" w:hAnsi="Arial" w:cs="Arial"/>
          <w:lang w:val="pt-BR"/>
        </w:rPr>
      </w:pPr>
      <w:r w:rsidRPr="008C13A3">
        <w:rPr>
          <w:rFonts w:ascii="Arial" w:hAnsi="Arial" w:cs="Arial"/>
          <w:lang w:val="pt-BR"/>
        </w:rPr>
        <w:t xml:space="preserve">Elemento de Despesa: </w:t>
      </w:r>
      <w:r w:rsidR="00037E5C">
        <w:rPr>
          <w:rFonts w:ascii="Arial" w:hAnsi="Arial" w:cs="Arial"/>
          <w:lang w:val="pt-BR"/>
        </w:rPr>
        <w:t>33.90.30.08</w:t>
      </w:r>
    </w:p>
    <w:p w14:paraId="68A0A183" w14:textId="77777777" w:rsidR="002E43FD" w:rsidRPr="008C13A3" w:rsidRDefault="002E43FD" w:rsidP="00807004">
      <w:pPr>
        <w:pStyle w:val="PargrafodaLista"/>
        <w:numPr>
          <w:ilvl w:val="1"/>
          <w:numId w:val="2"/>
        </w:numPr>
        <w:tabs>
          <w:tab w:val="left" w:pos="426"/>
        </w:tabs>
        <w:ind w:left="0" w:firstLine="0"/>
        <w:jc w:val="both"/>
        <w:rPr>
          <w:rFonts w:ascii="Arial" w:hAnsi="Arial" w:cs="Arial"/>
          <w:i/>
          <w:iCs/>
          <w:lang w:val="pt-BR"/>
        </w:rPr>
      </w:pPr>
      <w:r w:rsidRPr="008C13A3">
        <w:rPr>
          <w:rFonts w:ascii="Arial" w:hAnsi="Arial" w:cs="Arial"/>
          <w:lang w:val="pt-BR"/>
        </w:rPr>
        <w:t>A dotação relativa aos exercícios financeiros subsequentes será indicada após aprovação da Lei Orçamentária respectiva e liberação dos créditos correspondentes, mediante apostilamento</w:t>
      </w:r>
      <w:r w:rsidRPr="008C13A3">
        <w:rPr>
          <w:rFonts w:ascii="Arial" w:hAnsi="Arial" w:cs="Arial"/>
          <w:i/>
          <w:iCs/>
          <w:lang w:val="pt-BR"/>
        </w:rPr>
        <w:t>.</w:t>
      </w:r>
    </w:p>
    <w:p w14:paraId="120C7BB4" w14:textId="756CEFFB"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Para firmeza e validade do pactuado, o presente Termo de Contrato foi lavrado </w:t>
      </w:r>
      <w:r w:rsidRPr="00F8710E">
        <w:rPr>
          <w:rFonts w:ascii="Arial" w:hAnsi="Arial" w:cs="Arial"/>
        </w:rPr>
        <w:t xml:space="preserve">em </w:t>
      </w:r>
      <w:r w:rsidR="00466BF6" w:rsidRPr="00F8710E">
        <w:rPr>
          <w:rFonts w:ascii="Arial" w:hAnsi="Arial" w:cs="Arial"/>
        </w:rPr>
        <w:t>03</w:t>
      </w:r>
      <w:r w:rsidRPr="00F8710E">
        <w:rPr>
          <w:rFonts w:ascii="Arial" w:hAnsi="Arial" w:cs="Arial"/>
        </w:rPr>
        <w:t xml:space="preserve"> (</w:t>
      </w:r>
      <w:r w:rsidR="00466BF6" w:rsidRPr="00F8710E">
        <w:rPr>
          <w:rFonts w:ascii="Arial" w:hAnsi="Arial" w:cs="Arial"/>
        </w:rPr>
        <w:t>três</w:t>
      </w:r>
      <w:r w:rsidRPr="00F8710E">
        <w:rPr>
          <w:rFonts w:ascii="Arial" w:hAnsi="Arial" w:cs="Arial"/>
        </w:rPr>
        <w:t xml:space="preserve">) vias </w:t>
      </w:r>
      <w:r w:rsidRPr="008C13A3">
        <w:rPr>
          <w:rFonts w:ascii="Arial" w:hAnsi="Arial" w:cs="Arial"/>
        </w:rPr>
        <w:t xml:space="preserve">de igual 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9D23354"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08231F">
        <w:rPr>
          <w:rFonts w:ascii="Arial" w:hAnsi="Arial" w:cs="Arial"/>
        </w:rPr>
        <w:t>23.</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5B58257B" w:rsidR="00320761" w:rsidRDefault="00320761" w:rsidP="001D32DF">
      <w:pPr>
        <w:spacing w:after="120"/>
        <w:jc w:val="center"/>
        <w:rPr>
          <w:rFonts w:ascii="Arial" w:hAnsi="Arial" w:cs="Arial"/>
        </w:rPr>
      </w:pPr>
    </w:p>
    <w:p w14:paraId="5FA2BC12" w14:textId="77777777" w:rsidR="00F8710E" w:rsidRPr="008C13A3" w:rsidRDefault="00F8710E"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0D43F5">
      <w:headerReference w:type="default" r:id="rId50"/>
      <w:footerReference w:type="default" r:id="rId51"/>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4B86D" w14:textId="77777777" w:rsidR="005F049D" w:rsidRDefault="005F049D">
      <w:r>
        <w:separator/>
      </w:r>
    </w:p>
  </w:endnote>
  <w:endnote w:type="continuationSeparator" w:id="0">
    <w:p w14:paraId="5AB7E316" w14:textId="77777777" w:rsidR="005F049D" w:rsidRDefault="005F0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A00F6" w14:textId="77777777" w:rsidR="005F049D" w:rsidRDefault="005F049D">
      <w:r>
        <w:separator/>
      </w:r>
    </w:p>
  </w:footnote>
  <w:footnote w:type="continuationSeparator" w:id="0">
    <w:p w14:paraId="6210A7A0" w14:textId="77777777" w:rsidR="005F049D" w:rsidRDefault="005F0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777A" w14:textId="77777777" w:rsidR="000D43F5" w:rsidRDefault="000D43F5" w:rsidP="006F181E">
    <w:pPr>
      <w:pStyle w:val="Cabealho"/>
      <w:ind w:left="-567" w:firstLine="141"/>
    </w:pPr>
    <w:r>
      <w:rPr>
        <w:noProof/>
      </w:rPr>
      <mc:AlternateContent>
        <mc:Choice Requires="wps">
          <w:drawing>
            <wp:anchor distT="0" distB="0" distL="114300" distR="114300" simplePos="0" relativeHeight="251659264" behindDoc="0" locked="0" layoutInCell="1" allowOverlap="1" wp14:anchorId="514D3C7D" wp14:editId="3E17E7B4">
              <wp:simplePos x="0" y="0"/>
              <wp:positionH relativeFrom="column">
                <wp:posOffset>3692042</wp:posOffset>
              </wp:positionH>
              <wp:positionV relativeFrom="paragraph">
                <wp:posOffset>132099</wp:posOffset>
              </wp:positionV>
              <wp:extent cx="2026923" cy="602283"/>
              <wp:effectExtent l="0" t="0" r="11430" b="26670"/>
              <wp:wrapNone/>
              <wp:docPr id="1" name="Caixa de texto 6"/>
              <wp:cNvGraphicFramePr/>
              <a:graphic xmlns:a="http://schemas.openxmlformats.org/drawingml/2006/main">
                <a:graphicData uri="http://schemas.microsoft.com/office/word/2010/wordprocessingShape">
                  <wps:wsp>
                    <wps:cNvSpPr txBox="1"/>
                    <wps:spPr>
                      <a:xfrm>
                        <a:off x="0" y="0"/>
                        <a:ext cx="2026923" cy="602283"/>
                      </a:xfrm>
                      <a:prstGeom prst="rect">
                        <a:avLst/>
                      </a:prstGeom>
                      <a:solidFill>
                        <a:srgbClr val="FFFFFF"/>
                      </a:solidFill>
                      <a:ln w="9528">
                        <a:solidFill>
                          <a:srgbClr val="000000"/>
                        </a:solidFill>
                        <a:prstDash val="solid"/>
                      </a:ln>
                    </wps:spPr>
                    <wps:txbx>
                      <w:txbxContent>
                        <w:p w14:paraId="0D49762B" w14:textId="77777777" w:rsidR="000D43F5" w:rsidRDefault="000D43F5" w:rsidP="000D43F5">
                          <w:pPr>
                            <w:pStyle w:val="SemEspaamento"/>
                            <w:rPr>
                              <w:rFonts w:ascii="Azo Sans Lt" w:hAnsi="Azo Sans Lt"/>
                              <w:sz w:val="20"/>
                              <w:szCs w:val="20"/>
                            </w:rPr>
                          </w:pPr>
                          <w:r>
                            <w:rPr>
                              <w:rFonts w:ascii="Azo Sans Lt" w:hAnsi="Azo Sans Lt"/>
                              <w:sz w:val="20"/>
                              <w:szCs w:val="20"/>
                            </w:rPr>
                            <w:t>PROCESSO Nº: 7930/2023</w:t>
                          </w:r>
                        </w:p>
                        <w:p w14:paraId="5647068B" w14:textId="77777777" w:rsidR="000D43F5" w:rsidRDefault="000D43F5" w:rsidP="000D43F5">
                          <w:pPr>
                            <w:pStyle w:val="SemEspaamento"/>
                            <w:rPr>
                              <w:rFonts w:ascii="Azo Sans Lt" w:hAnsi="Azo Sans Lt"/>
                              <w:sz w:val="20"/>
                              <w:szCs w:val="20"/>
                            </w:rPr>
                          </w:pPr>
                        </w:p>
                        <w:p w14:paraId="7DD2E1CD" w14:textId="77777777" w:rsidR="000D43F5" w:rsidRDefault="000D43F5" w:rsidP="000D43F5">
                          <w:pPr>
                            <w:pStyle w:val="SemEspaamento"/>
                            <w:rPr>
                              <w:rFonts w:ascii="Azo Sans Lt" w:hAnsi="Azo Sans Lt"/>
                              <w:sz w:val="20"/>
                              <w:szCs w:val="20"/>
                            </w:rPr>
                          </w:pPr>
                          <w:r>
                            <w:rPr>
                              <w:rFonts w:ascii="Azo Sans Lt" w:hAnsi="Azo Sans Lt"/>
                              <w:sz w:val="20"/>
                              <w:szCs w:val="20"/>
                            </w:rPr>
                            <w:t>RUBRICA:_____FOLHA: ______</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514D3C7D" id="_x0000_t202" coordsize="21600,21600" o:spt="202" path="m,l,21600r21600,l21600,xe">
              <v:stroke joinstyle="miter"/>
              <v:path gradientshapeok="t" o:connecttype="rect"/>
            </v:shapetype>
            <v:shape id="Caixa de texto 6" o:spid="_x0000_s1026" type="#_x0000_t202" style="position:absolute;left:0;text-align:left;margin-left:290.7pt;margin-top:10.4pt;width:159.6pt;height:47.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" strokeweight=".26467mm">
              <v:textbox>
                <w:txbxContent>
                  <w:p w14:paraId="0D49762B" w14:textId="77777777" w:rsidR="000D43F5" w:rsidRDefault="000D43F5" w:rsidP="000D43F5">
                    <w:pPr>
                      <w:pStyle w:val="SemEspaamento"/>
                      <w:rPr>
                        <w:rFonts w:ascii="Azo Sans Lt" w:hAnsi="Azo Sans Lt"/>
                        <w:sz w:val="20"/>
                        <w:szCs w:val="20"/>
                      </w:rPr>
                    </w:pPr>
                    <w:r>
                      <w:rPr>
                        <w:rFonts w:ascii="Azo Sans Lt" w:hAnsi="Azo Sans Lt"/>
                        <w:sz w:val="20"/>
                        <w:szCs w:val="20"/>
                      </w:rPr>
                      <w:t>PROCESSO Nº: 7930/2023</w:t>
                    </w:r>
                  </w:p>
                  <w:p w14:paraId="5647068B" w14:textId="77777777" w:rsidR="000D43F5" w:rsidRDefault="000D43F5" w:rsidP="000D43F5">
                    <w:pPr>
                      <w:pStyle w:val="SemEspaamento"/>
                      <w:rPr>
                        <w:rFonts w:ascii="Azo Sans Lt" w:hAnsi="Azo Sans Lt"/>
                        <w:sz w:val="20"/>
                        <w:szCs w:val="20"/>
                      </w:rPr>
                    </w:pPr>
                  </w:p>
                  <w:p w14:paraId="7DD2E1CD" w14:textId="77777777" w:rsidR="000D43F5" w:rsidRDefault="000D43F5" w:rsidP="000D43F5">
                    <w:pPr>
                      <w:pStyle w:val="SemEspaamento"/>
                      <w:rPr>
                        <w:rFonts w:ascii="Azo Sans Lt" w:hAnsi="Azo Sans Lt"/>
                        <w:sz w:val="20"/>
                        <w:szCs w:val="20"/>
                      </w:rPr>
                    </w:pPr>
                    <w:r>
                      <w:rPr>
                        <w:rFonts w:ascii="Azo Sans Lt" w:hAnsi="Azo Sans Lt"/>
                        <w:sz w:val="20"/>
                        <w:szCs w:val="20"/>
                      </w:rPr>
                      <w:t>RUBRICA:_____FOLHA: ______</w:t>
                    </w:r>
                  </w:p>
                </w:txbxContent>
              </v:textbox>
            </v:shape>
          </w:pict>
        </mc:Fallback>
      </mc:AlternateContent>
    </w:r>
    <w:r>
      <w:rPr>
        <w:noProof/>
      </w:rPr>
      <w:drawing>
        <wp:inline distT="0" distB="0" distL="0" distR="0" wp14:anchorId="48049EBC" wp14:editId="744A7CFE">
          <wp:extent cx="3571874" cy="933446"/>
          <wp:effectExtent l="0" t="0" r="0" b="0"/>
          <wp:docPr id="5" name="Imagem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571874" cy="933446"/>
                  </a:xfrm>
                  <a:prstGeom prst="rect">
                    <a:avLst/>
                  </a:prstGeom>
                  <a:noFill/>
                  <a:ln>
                    <a:noFill/>
                    <a:prstDash/>
                  </a:ln>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D74290F6"/>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34363669"/>
    <w:multiLevelType w:val="multilevel"/>
    <w:tmpl w:val="50869E16"/>
    <w:styleLink w:val="WWOutlineListStyle12"/>
    <w:lvl w:ilvl="0">
      <w:start w:val="1"/>
      <w:numFmt w:val="decimal"/>
      <w:lvlText w:val="%1."/>
      <w:lvlJc w:val="left"/>
      <w:pPr>
        <w:ind w:left="360" w:hanging="360"/>
      </w:pPr>
      <w:rPr>
        <w:b/>
        <w:color w:val="auto"/>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4A626700"/>
    <w:multiLevelType w:val="multilevel"/>
    <w:tmpl w:val="275C6D32"/>
    <w:lvl w:ilvl="0">
      <w:start w:val="6"/>
      <w:numFmt w:val="decimal"/>
      <w:lvlText w:val="%1"/>
      <w:lvlJc w:val="left"/>
      <w:pPr>
        <w:ind w:left="360" w:hanging="360"/>
      </w:pPr>
      <w:rPr>
        <w:rFonts w:ascii="Calibri" w:hAnsi="Calibri" w:cs="Calibri"/>
        <w:color w:val="auto"/>
        <w:sz w:val="20"/>
      </w:rPr>
    </w:lvl>
    <w:lvl w:ilvl="1">
      <w:start w:val="1"/>
      <w:numFmt w:val="decimal"/>
      <w:lvlText w:val="%1.%2"/>
      <w:lvlJc w:val="left"/>
      <w:pPr>
        <w:ind w:left="720" w:hanging="360"/>
      </w:pPr>
      <w:rPr>
        <w:rFonts w:ascii="Arial" w:hAnsi="Arial" w:cs="Arial" w:hint="default"/>
        <w:color w:val="auto"/>
        <w:sz w:val="22"/>
        <w:szCs w:val="22"/>
      </w:rPr>
    </w:lvl>
    <w:lvl w:ilvl="2">
      <w:start w:val="1"/>
      <w:numFmt w:val="decimal"/>
      <w:lvlText w:val="%1.%2.%3"/>
      <w:lvlJc w:val="left"/>
      <w:pPr>
        <w:ind w:left="1440" w:hanging="720"/>
      </w:pPr>
      <w:rPr>
        <w:rFonts w:ascii="Calibri" w:hAnsi="Calibri" w:cs="Calibri"/>
        <w:color w:val="auto"/>
        <w:sz w:val="20"/>
      </w:rPr>
    </w:lvl>
    <w:lvl w:ilvl="3">
      <w:start w:val="1"/>
      <w:numFmt w:val="decimal"/>
      <w:lvlText w:val="%1.%2.%3.%4"/>
      <w:lvlJc w:val="left"/>
      <w:pPr>
        <w:ind w:left="2160" w:hanging="1080"/>
      </w:pPr>
      <w:rPr>
        <w:rFonts w:ascii="Calibri" w:hAnsi="Calibri" w:cs="Calibri"/>
        <w:color w:val="auto"/>
        <w:sz w:val="20"/>
      </w:rPr>
    </w:lvl>
    <w:lvl w:ilvl="4">
      <w:start w:val="1"/>
      <w:numFmt w:val="decimal"/>
      <w:lvlText w:val="%1.%2.%3.%4.%5"/>
      <w:lvlJc w:val="left"/>
      <w:pPr>
        <w:ind w:left="2520" w:hanging="1080"/>
      </w:pPr>
      <w:rPr>
        <w:rFonts w:ascii="Calibri" w:hAnsi="Calibri" w:cs="Calibri"/>
        <w:color w:val="auto"/>
        <w:sz w:val="20"/>
      </w:rPr>
    </w:lvl>
    <w:lvl w:ilvl="5">
      <w:start w:val="1"/>
      <w:numFmt w:val="decimal"/>
      <w:lvlText w:val="%1.%2.%3.%4.%5.%6"/>
      <w:lvlJc w:val="left"/>
      <w:pPr>
        <w:ind w:left="3240" w:hanging="1440"/>
      </w:pPr>
      <w:rPr>
        <w:rFonts w:ascii="Calibri" w:hAnsi="Calibri" w:cs="Calibri"/>
        <w:color w:val="auto"/>
        <w:sz w:val="20"/>
      </w:rPr>
    </w:lvl>
    <w:lvl w:ilvl="6">
      <w:start w:val="1"/>
      <w:numFmt w:val="decimal"/>
      <w:lvlText w:val="%1.%2.%3.%4.%5.%6.%7"/>
      <w:lvlJc w:val="left"/>
      <w:pPr>
        <w:ind w:left="3600" w:hanging="1440"/>
      </w:pPr>
      <w:rPr>
        <w:rFonts w:ascii="Calibri" w:hAnsi="Calibri" w:cs="Calibri"/>
        <w:color w:val="auto"/>
        <w:sz w:val="20"/>
      </w:rPr>
    </w:lvl>
    <w:lvl w:ilvl="7">
      <w:start w:val="1"/>
      <w:numFmt w:val="decimal"/>
      <w:lvlText w:val="%1.%2.%3.%4.%5.%6.%7.%8"/>
      <w:lvlJc w:val="left"/>
      <w:pPr>
        <w:ind w:left="4320" w:hanging="1800"/>
      </w:pPr>
      <w:rPr>
        <w:rFonts w:ascii="Calibri" w:hAnsi="Calibri" w:cs="Calibri"/>
        <w:color w:val="auto"/>
        <w:sz w:val="20"/>
      </w:rPr>
    </w:lvl>
    <w:lvl w:ilvl="8">
      <w:start w:val="1"/>
      <w:numFmt w:val="decimal"/>
      <w:lvlText w:val="%1.%2.%3.%4.%5.%6.%7.%8.%9"/>
      <w:lvlJc w:val="left"/>
      <w:pPr>
        <w:ind w:left="4680" w:hanging="1800"/>
      </w:pPr>
      <w:rPr>
        <w:rFonts w:ascii="Calibri" w:hAnsi="Calibri" w:cs="Calibri"/>
        <w:color w:val="auto"/>
        <w:sz w:val="20"/>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6BC11947"/>
    <w:multiLevelType w:val="multilevel"/>
    <w:tmpl w:val="28A81BD2"/>
    <w:lvl w:ilvl="0">
      <w:start w:val="5"/>
      <w:numFmt w:val="decimal"/>
      <w:lvlText w:val="%1"/>
      <w:lvlJc w:val="left"/>
      <w:pPr>
        <w:ind w:left="360" w:hanging="360"/>
      </w:pPr>
    </w:lvl>
    <w:lvl w:ilvl="1">
      <w:start w:val="1"/>
      <w:numFmt w:val="decimal"/>
      <w:lvlText w:val="%1.%2"/>
      <w:lvlJc w:val="left"/>
      <w:pPr>
        <w:ind w:left="360" w:hanging="360"/>
      </w:pPr>
      <w:rPr>
        <w:color w:val="00000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78534FE2"/>
    <w:multiLevelType w:val="multilevel"/>
    <w:tmpl w:val="BADC0030"/>
    <w:lvl w:ilvl="0">
      <w:numFmt w:val="bullet"/>
      <w:lvlText w:val=""/>
      <w:lvlJc w:val="left"/>
      <w:pPr>
        <w:ind w:left="792" w:hanging="360"/>
      </w:pPr>
      <w:rPr>
        <w:rFonts w:ascii="Symbol" w:eastAsia="Times New Roman" w:hAnsi="Symbol" w:cs="Calibri"/>
      </w:rPr>
    </w:lvl>
    <w:lvl w:ilvl="1">
      <w:numFmt w:val="bullet"/>
      <w:lvlText w:val="o"/>
      <w:lvlJc w:val="left"/>
      <w:pPr>
        <w:ind w:left="1512" w:hanging="360"/>
      </w:pPr>
      <w:rPr>
        <w:rFonts w:ascii="Courier New" w:hAnsi="Courier New" w:cs="Courier New"/>
      </w:rPr>
    </w:lvl>
    <w:lvl w:ilvl="2">
      <w:numFmt w:val="bullet"/>
      <w:lvlText w:val=""/>
      <w:lvlJc w:val="left"/>
      <w:pPr>
        <w:ind w:left="2232" w:hanging="360"/>
      </w:pPr>
      <w:rPr>
        <w:rFonts w:ascii="Wingdings" w:hAnsi="Wingdings"/>
      </w:rPr>
    </w:lvl>
    <w:lvl w:ilvl="3">
      <w:numFmt w:val="bullet"/>
      <w:lvlText w:val=""/>
      <w:lvlJc w:val="left"/>
      <w:pPr>
        <w:ind w:left="2952" w:hanging="360"/>
      </w:pPr>
      <w:rPr>
        <w:rFonts w:ascii="Symbol" w:hAnsi="Symbol"/>
      </w:rPr>
    </w:lvl>
    <w:lvl w:ilvl="4">
      <w:numFmt w:val="bullet"/>
      <w:lvlText w:val="o"/>
      <w:lvlJc w:val="left"/>
      <w:pPr>
        <w:ind w:left="3672" w:hanging="360"/>
      </w:pPr>
      <w:rPr>
        <w:rFonts w:ascii="Courier New" w:hAnsi="Courier New" w:cs="Courier New"/>
      </w:rPr>
    </w:lvl>
    <w:lvl w:ilvl="5">
      <w:numFmt w:val="bullet"/>
      <w:lvlText w:val=""/>
      <w:lvlJc w:val="left"/>
      <w:pPr>
        <w:ind w:left="4392" w:hanging="360"/>
      </w:pPr>
      <w:rPr>
        <w:rFonts w:ascii="Wingdings" w:hAnsi="Wingdings"/>
      </w:rPr>
    </w:lvl>
    <w:lvl w:ilvl="6">
      <w:numFmt w:val="bullet"/>
      <w:lvlText w:val=""/>
      <w:lvlJc w:val="left"/>
      <w:pPr>
        <w:ind w:left="5112" w:hanging="360"/>
      </w:pPr>
      <w:rPr>
        <w:rFonts w:ascii="Symbol" w:hAnsi="Symbol"/>
      </w:rPr>
    </w:lvl>
    <w:lvl w:ilvl="7">
      <w:numFmt w:val="bullet"/>
      <w:lvlText w:val="o"/>
      <w:lvlJc w:val="left"/>
      <w:pPr>
        <w:ind w:left="5832" w:hanging="360"/>
      </w:pPr>
      <w:rPr>
        <w:rFonts w:ascii="Courier New" w:hAnsi="Courier New" w:cs="Courier New"/>
      </w:rPr>
    </w:lvl>
    <w:lvl w:ilvl="8">
      <w:numFmt w:val="bullet"/>
      <w:lvlText w:val=""/>
      <w:lvlJc w:val="left"/>
      <w:pPr>
        <w:ind w:left="6552" w:hanging="360"/>
      </w:pPr>
      <w:rPr>
        <w:rFonts w:ascii="Wingdings" w:hAnsi="Wingdings"/>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2"/>
  </w:num>
  <w:num w:numId="7">
    <w:abstractNumId w:val="3"/>
  </w:num>
  <w:num w:numId="8">
    <w:abstractNumId w:val="9"/>
  </w:num>
  <w:num w:numId="9">
    <w:abstractNumId w:val="6"/>
  </w:num>
  <w:num w:numId="10">
    <w:abstractNumId w:val="7"/>
  </w:num>
  <w:num w:numId="11">
    <w:abstractNumId w:val="7"/>
    <w:lvlOverride w:ilvl="0">
      <w:startOverride w:val="5"/>
    </w:lvlOverride>
  </w:num>
  <w:num w:numId="12">
    <w:abstractNumId w:val="10"/>
  </w:num>
  <w:num w:numId="13">
    <w:abstractNumId w:val="11"/>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1B46"/>
    <w:rsid w:val="000137FD"/>
    <w:rsid w:val="00016803"/>
    <w:rsid w:val="000168E3"/>
    <w:rsid w:val="0001740F"/>
    <w:rsid w:val="000205DB"/>
    <w:rsid w:val="00037E5C"/>
    <w:rsid w:val="00043FA7"/>
    <w:rsid w:val="00053E95"/>
    <w:rsid w:val="00055A35"/>
    <w:rsid w:val="00060815"/>
    <w:rsid w:val="00064A3F"/>
    <w:rsid w:val="000659B7"/>
    <w:rsid w:val="0007531B"/>
    <w:rsid w:val="0008231F"/>
    <w:rsid w:val="00085E40"/>
    <w:rsid w:val="00090A03"/>
    <w:rsid w:val="00090C31"/>
    <w:rsid w:val="00092735"/>
    <w:rsid w:val="00097D7B"/>
    <w:rsid w:val="000A1E64"/>
    <w:rsid w:val="000B23ED"/>
    <w:rsid w:val="000D17CB"/>
    <w:rsid w:val="000D43F5"/>
    <w:rsid w:val="000D45F1"/>
    <w:rsid w:val="000D6176"/>
    <w:rsid w:val="000D6A38"/>
    <w:rsid w:val="000E4CF2"/>
    <w:rsid w:val="000E4D70"/>
    <w:rsid w:val="000E6000"/>
    <w:rsid w:val="000E684C"/>
    <w:rsid w:val="000E6DAE"/>
    <w:rsid w:val="000F0F17"/>
    <w:rsid w:val="000F16DD"/>
    <w:rsid w:val="000F2826"/>
    <w:rsid w:val="000F46E9"/>
    <w:rsid w:val="000F4D4D"/>
    <w:rsid w:val="000F697C"/>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0AEA"/>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DB5"/>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15C3"/>
    <w:rsid w:val="004959AC"/>
    <w:rsid w:val="004A09DC"/>
    <w:rsid w:val="004A1537"/>
    <w:rsid w:val="004A20F0"/>
    <w:rsid w:val="004A30C1"/>
    <w:rsid w:val="004A7803"/>
    <w:rsid w:val="004B18EA"/>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479B9"/>
    <w:rsid w:val="0055035E"/>
    <w:rsid w:val="00552CD7"/>
    <w:rsid w:val="005548E3"/>
    <w:rsid w:val="00557CD0"/>
    <w:rsid w:val="0056221F"/>
    <w:rsid w:val="00563586"/>
    <w:rsid w:val="00564A89"/>
    <w:rsid w:val="00571224"/>
    <w:rsid w:val="00571B00"/>
    <w:rsid w:val="005722A3"/>
    <w:rsid w:val="00576F3A"/>
    <w:rsid w:val="00583909"/>
    <w:rsid w:val="00594591"/>
    <w:rsid w:val="005C402B"/>
    <w:rsid w:val="005D7CC0"/>
    <w:rsid w:val="005E2922"/>
    <w:rsid w:val="005E753D"/>
    <w:rsid w:val="005F049D"/>
    <w:rsid w:val="005F5E8D"/>
    <w:rsid w:val="005F6177"/>
    <w:rsid w:val="00604469"/>
    <w:rsid w:val="00612436"/>
    <w:rsid w:val="006142F9"/>
    <w:rsid w:val="00617943"/>
    <w:rsid w:val="00617E05"/>
    <w:rsid w:val="00620E2E"/>
    <w:rsid w:val="00623F21"/>
    <w:rsid w:val="0062482D"/>
    <w:rsid w:val="006306EF"/>
    <w:rsid w:val="00633A54"/>
    <w:rsid w:val="00633BD8"/>
    <w:rsid w:val="00637E49"/>
    <w:rsid w:val="00641674"/>
    <w:rsid w:val="00645026"/>
    <w:rsid w:val="00646682"/>
    <w:rsid w:val="00651BC4"/>
    <w:rsid w:val="00656DA5"/>
    <w:rsid w:val="006709DA"/>
    <w:rsid w:val="0067457F"/>
    <w:rsid w:val="00691421"/>
    <w:rsid w:val="006A1B6A"/>
    <w:rsid w:val="006B62AB"/>
    <w:rsid w:val="006C7188"/>
    <w:rsid w:val="006D48A5"/>
    <w:rsid w:val="006D4909"/>
    <w:rsid w:val="006D6562"/>
    <w:rsid w:val="006E5958"/>
    <w:rsid w:val="006E635F"/>
    <w:rsid w:val="006F0ECE"/>
    <w:rsid w:val="006F181E"/>
    <w:rsid w:val="007168B3"/>
    <w:rsid w:val="00722F56"/>
    <w:rsid w:val="007270C7"/>
    <w:rsid w:val="00735ADD"/>
    <w:rsid w:val="00741433"/>
    <w:rsid w:val="007476E1"/>
    <w:rsid w:val="0075018C"/>
    <w:rsid w:val="007506FB"/>
    <w:rsid w:val="0075652C"/>
    <w:rsid w:val="00763341"/>
    <w:rsid w:val="00773AA0"/>
    <w:rsid w:val="00773EAC"/>
    <w:rsid w:val="007767C7"/>
    <w:rsid w:val="00785644"/>
    <w:rsid w:val="00785D66"/>
    <w:rsid w:val="00793806"/>
    <w:rsid w:val="0079421E"/>
    <w:rsid w:val="00797F3F"/>
    <w:rsid w:val="007A270B"/>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C5368"/>
    <w:rsid w:val="009D2CA1"/>
    <w:rsid w:val="009E4B14"/>
    <w:rsid w:val="009F2F85"/>
    <w:rsid w:val="00A024EE"/>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0E4B"/>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D2CA4"/>
    <w:rsid w:val="00CE1CB6"/>
    <w:rsid w:val="00CF467B"/>
    <w:rsid w:val="00D06A05"/>
    <w:rsid w:val="00D22F45"/>
    <w:rsid w:val="00D2348E"/>
    <w:rsid w:val="00D249B9"/>
    <w:rsid w:val="00D2776D"/>
    <w:rsid w:val="00D27AFB"/>
    <w:rsid w:val="00D5096A"/>
    <w:rsid w:val="00D653DF"/>
    <w:rsid w:val="00D7231B"/>
    <w:rsid w:val="00D7299B"/>
    <w:rsid w:val="00D73E45"/>
    <w:rsid w:val="00D82D0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8710E"/>
    <w:rsid w:val="00FA307E"/>
    <w:rsid w:val="00FA5861"/>
    <w:rsid w:val="00FB230B"/>
    <w:rsid w:val="00FB71A6"/>
    <w:rsid w:val="00FC22BB"/>
    <w:rsid w:val="00FD2171"/>
    <w:rsid w:val="00FD7824"/>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customStyle="1" w:styleId="Heading">
    <w:name w:val="Heading"/>
    <w:basedOn w:val="Standard"/>
    <w:next w:val="Normal"/>
    <w:rsid w:val="00576F3A"/>
    <w:pPr>
      <w:keepNext/>
      <w:spacing w:before="240" w:after="120" w:line="240" w:lineRule="auto"/>
    </w:pPr>
    <w:rPr>
      <w:rFonts w:ascii="Liberation Sans" w:eastAsia="Microsoft YaHei" w:hAnsi="Liberation Sans" w:cs="Arial"/>
      <w:sz w:val="28"/>
      <w:szCs w:val="28"/>
      <w:lang w:eastAsia="pt-BR"/>
    </w:rPr>
  </w:style>
  <w:style w:type="numbering" w:customStyle="1" w:styleId="WWOutlineListStyle12">
    <w:name w:val="WW_OutlineListStyle_12"/>
    <w:basedOn w:val="Semlista"/>
    <w:rsid w:val="00011B4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Pages>
  <Words>5148</Words>
  <Characters>27802</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48</cp:revision>
  <cp:lastPrinted>2023-09-11T17:34:00Z</cp:lastPrinted>
  <dcterms:created xsi:type="dcterms:W3CDTF">2023-08-18T18:10:00Z</dcterms:created>
  <dcterms:modified xsi:type="dcterms:W3CDTF">2023-09-29T19:43:00Z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